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0A0" w:firstRow="1" w:lastRow="0" w:firstColumn="1" w:lastColumn="0" w:noHBand="0" w:noVBand="0"/>
      </w:tblPr>
      <w:tblGrid>
        <w:gridCol w:w="1440"/>
        <w:gridCol w:w="2520"/>
      </w:tblGrid>
      <w:tr w:rsidR="00C9595E" w:rsidRPr="00EE2B2E" w14:paraId="63EE4AB5" w14:textId="77777777" w:rsidTr="00B066D8">
        <w:trPr>
          <w:trHeight w:val="1440"/>
        </w:trPr>
        <w:tc>
          <w:tcPr>
            <w:tcW w:w="1440" w:type="dxa"/>
            <w:tcBorders>
              <w:right w:val="single" w:sz="4" w:space="0" w:color="FFFFFF"/>
            </w:tcBorders>
            <w:shd w:val="clear" w:color="auto" w:fill="215868" w:themeFill="accent5" w:themeFillShade="80"/>
          </w:tcPr>
          <w:p w14:paraId="7B4C992D" w14:textId="77777777" w:rsidR="00C9595E" w:rsidRPr="00EE2B2E" w:rsidRDefault="00C9595E">
            <w:bookmarkStart w:id="0" w:name="_GoBack"/>
            <w:bookmarkEnd w:id="0"/>
          </w:p>
        </w:tc>
        <w:tc>
          <w:tcPr>
            <w:tcW w:w="2520" w:type="dxa"/>
            <w:tcBorders>
              <w:left w:val="single" w:sz="4" w:space="0" w:color="FFFFFF"/>
            </w:tcBorders>
            <w:shd w:val="clear" w:color="auto" w:fill="215868" w:themeFill="accent5" w:themeFillShade="80"/>
            <w:vAlign w:val="bottom"/>
          </w:tcPr>
          <w:p w14:paraId="449D5C64" w14:textId="16B074F0" w:rsidR="00C9595E" w:rsidRDefault="00C9595E" w:rsidP="00B066D8">
            <w:pPr>
              <w:pStyle w:val="NoSpacing"/>
              <w:rPr>
                <w:rFonts w:ascii="Cambria" w:hAnsi="Cambria"/>
                <w:b/>
                <w:bCs/>
                <w:color w:val="FFFFFF"/>
                <w:sz w:val="72"/>
                <w:szCs w:val="72"/>
              </w:rPr>
            </w:pPr>
            <w:r>
              <w:rPr>
                <w:rFonts w:ascii="Cambria" w:hAnsi="Cambria"/>
                <w:b/>
                <w:bCs/>
                <w:color w:val="FFFFFF"/>
                <w:sz w:val="72"/>
                <w:szCs w:val="72"/>
              </w:rPr>
              <w:t>201</w:t>
            </w:r>
            <w:r w:rsidR="00A53197">
              <w:rPr>
                <w:rFonts w:ascii="Cambria" w:hAnsi="Cambria"/>
                <w:b/>
                <w:bCs/>
                <w:color w:val="FFFFFF"/>
                <w:sz w:val="72"/>
                <w:szCs w:val="72"/>
              </w:rPr>
              <w:t>9</w:t>
            </w:r>
          </w:p>
        </w:tc>
      </w:tr>
      <w:tr w:rsidR="00C9595E" w:rsidRPr="00EE2B2E" w14:paraId="7AE17859" w14:textId="77777777">
        <w:trPr>
          <w:trHeight w:val="2880"/>
        </w:trPr>
        <w:tc>
          <w:tcPr>
            <w:tcW w:w="1440" w:type="dxa"/>
            <w:tcBorders>
              <w:right w:val="single" w:sz="4" w:space="0" w:color="000000"/>
            </w:tcBorders>
          </w:tcPr>
          <w:p w14:paraId="47B4EE8D" w14:textId="77777777" w:rsidR="00C9595E" w:rsidRPr="00EE2B2E" w:rsidRDefault="00C9595E"/>
        </w:tc>
        <w:tc>
          <w:tcPr>
            <w:tcW w:w="2520" w:type="dxa"/>
            <w:tcBorders>
              <w:left w:val="single" w:sz="4" w:space="0" w:color="000000"/>
            </w:tcBorders>
            <w:vAlign w:val="center"/>
          </w:tcPr>
          <w:p w14:paraId="0330672D" w14:textId="77777777" w:rsidR="00C9595E" w:rsidRPr="00EE2B2E" w:rsidRDefault="00C9595E">
            <w:pPr>
              <w:pStyle w:val="NoSpacing"/>
              <w:rPr>
                <w:rFonts w:ascii="Cambria" w:hAnsi="Cambria"/>
                <w:color w:val="76923C"/>
                <w:sz w:val="28"/>
                <w:szCs w:val="28"/>
              </w:rPr>
            </w:pPr>
            <w:r w:rsidRPr="00EE2B2E">
              <w:rPr>
                <w:rFonts w:ascii="Cambria" w:hAnsi="Cambria"/>
                <w:b/>
                <w:sz w:val="28"/>
                <w:szCs w:val="28"/>
              </w:rPr>
              <w:t>Arkansas Department of Human Services</w:t>
            </w:r>
          </w:p>
          <w:p w14:paraId="72F2D58D" w14:textId="77777777" w:rsidR="00C9595E" w:rsidRPr="00EE2B2E" w:rsidRDefault="00C9595E">
            <w:pPr>
              <w:pStyle w:val="NoSpacing"/>
              <w:rPr>
                <w:rFonts w:ascii="Cambria" w:hAnsi="Cambria"/>
                <w:color w:val="76923C"/>
              </w:rPr>
            </w:pPr>
          </w:p>
          <w:p w14:paraId="68F788DE" w14:textId="77777777" w:rsidR="00C9595E" w:rsidRPr="00EE2B2E" w:rsidRDefault="00C9595E">
            <w:pPr>
              <w:pStyle w:val="NoSpacing"/>
              <w:rPr>
                <w:rFonts w:ascii="Cambria" w:hAnsi="Cambria"/>
                <w:color w:val="76923C"/>
                <w:sz w:val="28"/>
                <w:szCs w:val="28"/>
              </w:rPr>
            </w:pPr>
            <w:r w:rsidRPr="00EE2B2E">
              <w:rPr>
                <w:rFonts w:ascii="Cambria" w:hAnsi="Cambria"/>
                <w:b/>
                <w:sz w:val="28"/>
                <w:szCs w:val="28"/>
              </w:rPr>
              <w:t>Division of Children and Family Services</w:t>
            </w:r>
          </w:p>
          <w:p w14:paraId="7B4AAD26" w14:textId="5C49B9F6" w:rsidR="00C9595E" w:rsidRPr="00EE2B2E" w:rsidRDefault="00C9595E">
            <w:pPr>
              <w:pStyle w:val="NoSpacing"/>
              <w:rPr>
                <w:color w:val="76923C"/>
              </w:rPr>
            </w:pPr>
          </w:p>
        </w:tc>
      </w:tr>
    </w:tbl>
    <w:p w14:paraId="36D2DDC0" w14:textId="77777777" w:rsidR="00C9595E" w:rsidRDefault="00C9595E"/>
    <w:p w14:paraId="5291EC7C" w14:textId="77777777" w:rsidR="00C9595E" w:rsidRDefault="00C9595E"/>
    <w:tbl>
      <w:tblPr>
        <w:tblpPr w:leftFromText="187" w:rightFromText="187" w:horzAnchor="margin" w:tblpXSpec="center" w:tblpYSpec="bottom"/>
        <w:tblW w:w="5000" w:type="pct"/>
        <w:tblLook w:val="00A0" w:firstRow="1" w:lastRow="0" w:firstColumn="1" w:lastColumn="0" w:noHBand="0" w:noVBand="0"/>
      </w:tblPr>
      <w:tblGrid>
        <w:gridCol w:w="9360"/>
      </w:tblGrid>
      <w:tr w:rsidR="00C9595E" w:rsidRPr="00EE2B2E" w14:paraId="451228BF" w14:textId="77777777" w:rsidTr="00F5025D">
        <w:tc>
          <w:tcPr>
            <w:tcW w:w="0" w:type="auto"/>
          </w:tcPr>
          <w:p w14:paraId="432A33CD" w14:textId="77777777" w:rsidR="00C9595E" w:rsidRPr="00EE2B2E" w:rsidRDefault="00C9595E" w:rsidP="00AB0D93">
            <w:pPr>
              <w:pStyle w:val="NoSpacing"/>
              <w:rPr>
                <w:rFonts w:ascii="Cambria" w:hAnsi="Cambria"/>
                <w:b/>
                <w:bCs/>
                <w:smallCaps/>
                <w:sz w:val="56"/>
                <w:szCs w:val="56"/>
              </w:rPr>
            </w:pPr>
            <w:r w:rsidRPr="00EE2B2E">
              <w:rPr>
                <w:rFonts w:ascii="Cambria" w:hAnsi="Cambria"/>
                <w:b/>
                <w:bCs/>
                <w:smallCaps/>
                <w:sz w:val="56"/>
                <w:szCs w:val="56"/>
              </w:rPr>
              <w:t>Statewide QSPR Performance Report</w:t>
            </w:r>
          </w:p>
        </w:tc>
      </w:tr>
      <w:tr w:rsidR="00C9595E" w:rsidRPr="00EE2B2E" w14:paraId="1D13B22A" w14:textId="77777777" w:rsidTr="00F5025D">
        <w:tc>
          <w:tcPr>
            <w:tcW w:w="0" w:type="auto"/>
          </w:tcPr>
          <w:p w14:paraId="64B20917" w14:textId="77777777" w:rsidR="00C9595E" w:rsidRPr="00EE2B2E" w:rsidRDefault="00C9595E" w:rsidP="00AB0D93">
            <w:pPr>
              <w:pStyle w:val="NoSpacing"/>
              <w:rPr>
                <w:rFonts w:ascii="Cambria" w:hAnsi="Cambria"/>
                <w:b/>
                <w:color w:val="7F7F7F"/>
                <w:sz w:val="28"/>
                <w:szCs w:val="28"/>
              </w:rPr>
            </w:pPr>
            <w:r w:rsidRPr="00EE2B2E">
              <w:rPr>
                <w:rFonts w:ascii="Cambria" w:hAnsi="Cambria"/>
                <w:b/>
                <w:color w:val="7F7F7F"/>
                <w:sz w:val="28"/>
                <w:szCs w:val="28"/>
              </w:rPr>
              <w:t>DCFS Service Quality and Practice Improvement Unit</w:t>
            </w:r>
          </w:p>
        </w:tc>
      </w:tr>
    </w:tbl>
    <w:p w14:paraId="17A6C3EF" w14:textId="77777777" w:rsidR="00C9595E" w:rsidRDefault="00C9595E"/>
    <w:p w14:paraId="73B77705" w14:textId="136FFF2B" w:rsidR="00F9433F" w:rsidRPr="00934946" w:rsidRDefault="00F43812" w:rsidP="0074445B">
      <w:pPr>
        <w:pBdr>
          <w:bottom w:val="single" w:sz="12" w:space="0" w:color="auto"/>
        </w:pBdr>
        <w:tabs>
          <w:tab w:val="left" w:pos="2010"/>
        </w:tabs>
        <w:spacing w:after="0" w:line="240" w:lineRule="auto"/>
        <w:rPr>
          <w:rFonts w:asciiTheme="majorHAnsi" w:hAnsiTheme="majorHAnsi"/>
          <w:b/>
          <w:smallCaps/>
          <w:sz w:val="28"/>
          <w:szCs w:val="28"/>
        </w:rPr>
      </w:pPr>
      <w:r>
        <w:rPr>
          <w:noProof/>
        </w:rPr>
        <w:object w:dxaOrig="1440" w:dyaOrig="1440" w14:anchorId="74CB8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5pt;margin-top:84.25pt;width:456.5pt;height:401.65pt;z-index:251657728" fillcolor="#0c9">
            <v:imagedata r:id="rId8" o:title=""/>
          </v:shape>
          <o:OLEObject Type="Embed" ProgID="Unknown" ShapeID="_x0000_s1029" DrawAspect="Content" ObjectID="_1644916595" r:id="rId9"/>
        </w:object>
      </w:r>
      <w:r w:rsidR="00C9595E">
        <w:br w:type="page"/>
      </w:r>
      <w:r w:rsidR="00F9433F" w:rsidRPr="00513D72">
        <w:rPr>
          <w:rFonts w:asciiTheme="majorHAnsi" w:hAnsiTheme="majorHAnsi"/>
          <w:b/>
          <w:smallCaps/>
          <w:sz w:val="28"/>
          <w:szCs w:val="28"/>
        </w:rPr>
        <w:lastRenderedPageBreak/>
        <w:t>Overview</w:t>
      </w:r>
      <w:r w:rsidR="00F9433F" w:rsidRPr="00934946">
        <w:rPr>
          <w:rFonts w:asciiTheme="majorHAnsi" w:hAnsiTheme="majorHAnsi"/>
          <w:b/>
          <w:smallCaps/>
          <w:sz w:val="28"/>
          <w:szCs w:val="28"/>
        </w:rPr>
        <w:tab/>
      </w:r>
    </w:p>
    <w:p w14:paraId="605DFACB" w14:textId="77777777" w:rsidR="0074445B" w:rsidRPr="00DC0AE7" w:rsidRDefault="0074445B" w:rsidP="0074445B">
      <w:pPr>
        <w:spacing w:after="0" w:line="240" w:lineRule="auto"/>
        <w:jc w:val="both"/>
        <w:rPr>
          <w:rFonts w:ascii="Cambria" w:hAnsi="Cambria"/>
          <w:sz w:val="24"/>
          <w:szCs w:val="24"/>
        </w:rPr>
      </w:pPr>
    </w:p>
    <w:p w14:paraId="0521D191" w14:textId="77777777" w:rsidR="002B23CB" w:rsidRDefault="00B066D8" w:rsidP="00B066D8">
      <w:pPr>
        <w:spacing w:after="0" w:line="240" w:lineRule="auto"/>
        <w:jc w:val="both"/>
        <w:rPr>
          <w:rFonts w:ascii="Cambria" w:hAnsi="Cambria"/>
          <w:sz w:val="24"/>
          <w:szCs w:val="24"/>
        </w:rPr>
      </w:pPr>
      <w:r w:rsidRPr="00B066D8">
        <w:rPr>
          <w:rFonts w:ascii="Cambria" w:hAnsi="Cambria"/>
          <w:sz w:val="24"/>
          <w:szCs w:val="24"/>
        </w:rPr>
        <w:t xml:space="preserve">The Arkansas Department of Human Services, Division of Children and Family Services (DCFS) utilizes the Quality Services Peer Review (QSPR) process as a central component of its Continuous Quality Improvement (CQI) system.  </w:t>
      </w:r>
      <w:r w:rsidR="00B32CC6">
        <w:rPr>
          <w:rFonts w:ascii="Cambria" w:hAnsi="Cambria"/>
          <w:sz w:val="24"/>
          <w:szCs w:val="24"/>
        </w:rPr>
        <w:t>The process is used as a</w:t>
      </w:r>
      <w:r w:rsidRPr="00B066D8">
        <w:rPr>
          <w:rFonts w:ascii="Cambria" w:hAnsi="Cambria"/>
          <w:sz w:val="24"/>
          <w:szCs w:val="24"/>
        </w:rPr>
        <w:t xml:space="preserve"> monitoring tool to evaluate Arkansas’s child welfare system; </w:t>
      </w:r>
      <w:r w:rsidR="00B32CC6">
        <w:rPr>
          <w:rFonts w:ascii="Cambria" w:hAnsi="Cambria"/>
          <w:sz w:val="24"/>
          <w:szCs w:val="24"/>
        </w:rPr>
        <w:t>it</w:t>
      </w:r>
      <w:r w:rsidR="00B32CC6" w:rsidRPr="00B066D8">
        <w:rPr>
          <w:rFonts w:ascii="Cambria" w:hAnsi="Cambria"/>
          <w:sz w:val="24"/>
          <w:szCs w:val="24"/>
        </w:rPr>
        <w:t xml:space="preserve"> </w:t>
      </w:r>
      <w:r w:rsidRPr="00B066D8">
        <w:rPr>
          <w:rFonts w:ascii="Cambria" w:hAnsi="Cambria"/>
          <w:sz w:val="24"/>
          <w:szCs w:val="24"/>
        </w:rPr>
        <w:t>constitute</w:t>
      </w:r>
      <w:r w:rsidR="00B32CC6">
        <w:rPr>
          <w:rFonts w:ascii="Cambria" w:hAnsi="Cambria"/>
          <w:sz w:val="24"/>
          <w:szCs w:val="24"/>
        </w:rPr>
        <w:t>s</w:t>
      </w:r>
      <w:r w:rsidRPr="00B066D8">
        <w:rPr>
          <w:rFonts w:ascii="Cambria" w:hAnsi="Cambria"/>
          <w:sz w:val="24"/>
          <w:szCs w:val="24"/>
        </w:rPr>
        <w:t xml:space="preserve"> DCFS’ qualitative case review process.  </w:t>
      </w:r>
      <w:r w:rsidR="00531197" w:rsidRPr="00531197">
        <w:rPr>
          <w:rFonts w:ascii="Cambria" w:hAnsi="Cambria"/>
          <w:sz w:val="24"/>
          <w:szCs w:val="24"/>
        </w:rPr>
        <w:t xml:space="preserve">The review </w:t>
      </w:r>
      <w:r w:rsidR="00B32CC6">
        <w:rPr>
          <w:rFonts w:ascii="Cambria" w:hAnsi="Cambria"/>
          <w:sz w:val="24"/>
          <w:szCs w:val="24"/>
        </w:rPr>
        <w:t xml:space="preserve">is </w:t>
      </w:r>
      <w:r w:rsidR="00B9159D">
        <w:rPr>
          <w:rFonts w:ascii="Cambria" w:hAnsi="Cambria"/>
          <w:sz w:val="24"/>
          <w:szCs w:val="24"/>
        </w:rPr>
        <w:t>designed</w:t>
      </w:r>
      <w:r w:rsidR="00531197" w:rsidRPr="00531197">
        <w:rPr>
          <w:rFonts w:ascii="Cambria" w:hAnsi="Cambria"/>
          <w:sz w:val="24"/>
          <w:szCs w:val="24"/>
        </w:rPr>
        <w:t xml:space="preserve"> to</w:t>
      </w:r>
      <w:r w:rsidR="00B9159D">
        <w:rPr>
          <w:rFonts w:ascii="Cambria" w:hAnsi="Cambria"/>
          <w:sz w:val="24"/>
          <w:szCs w:val="24"/>
        </w:rPr>
        <w:t xml:space="preserve"> help individual service areas, and the Division as a whole,</w:t>
      </w:r>
      <w:r w:rsidR="00531197" w:rsidRPr="00531197">
        <w:rPr>
          <w:rFonts w:ascii="Cambria" w:hAnsi="Cambria"/>
          <w:sz w:val="24"/>
          <w:szCs w:val="24"/>
        </w:rPr>
        <w:t xml:space="preserve"> improve child welfare services and subsequently outcomes for children and families receiving services.</w:t>
      </w:r>
      <w:r w:rsidR="00B9159D">
        <w:rPr>
          <w:rFonts w:ascii="Cambria" w:hAnsi="Cambria"/>
          <w:sz w:val="24"/>
          <w:szCs w:val="24"/>
        </w:rPr>
        <w:t xml:space="preserve"> </w:t>
      </w:r>
      <w:r w:rsidR="00531197" w:rsidRPr="00531197">
        <w:rPr>
          <w:rFonts w:ascii="Cambria" w:hAnsi="Cambria"/>
          <w:sz w:val="24"/>
          <w:szCs w:val="24"/>
        </w:rPr>
        <w:t xml:space="preserve"> </w:t>
      </w:r>
    </w:p>
    <w:p w14:paraId="032CBD0A" w14:textId="77777777" w:rsidR="002B23CB" w:rsidRDefault="002B23CB" w:rsidP="00B066D8">
      <w:pPr>
        <w:spacing w:after="0" w:line="240" w:lineRule="auto"/>
        <w:jc w:val="both"/>
        <w:rPr>
          <w:rFonts w:ascii="Cambria" w:hAnsi="Cambria"/>
          <w:sz w:val="24"/>
          <w:szCs w:val="24"/>
        </w:rPr>
      </w:pPr>
    </w:p>
    <w:p w14:paraId="66BBC35B" w14:textId="30FE4F9B" w:rsidR="00B066D8" w:rsidRPr="00B066D8" w:rsidRDefault="00531197" w:rsidP="00B066D8">
      <w:pPr>
        <w:spacing w:after="0" w:line="240" w:lineRule="auto"/>
        <w:jc w:val="both"/>
        <w:rPr>
          <w:rFonts w:ascii="Cambria" w:hAnsi="Cambria"/>
          <w:sz w:val="24"/>
          <w:szCs w:val="24"/>
        </w:rPr>
      </w:pPr>
      <w:r w:rsidRPr="00531197">
        <w:rPr>
          <w:rFonts w:ascii="Cambria" w:hAnsi="Cambria"/>
          <w:sz w:val="24"/>
          <w:szCs w:val="24"/>
        </w:rPr>
        <w:t>The standards outlined in the QSPR support the principles promoted in other review tools employed by DCFS as well as the Arkansas Practice Model, including family-centered practice, community-based services, individualizing services that address the unique needs of families and strengthening the capacity of parents to protect and provide for their children.</w:t>
      </w:r>
      <w:r w:rsidR="00B9159D">
        <w:rPr>
          <w:rFonts w:ascii="Cambria" w:hAnsi="Cambria"/>
          <w:sz w:val="24"/>
          <w:szCs w:val="24"/>
        </w:rPr>
        <w:t xml:space="preserve">  </w:t>
      </w:r>
      <w:r w:rsidR="00B066D8" w:rsidRPr="00A546FF">
        <w:rPr>
          <w:rFonts w:ascii="Cambria" w:hAnsi="Cambria"/>
          <w:sz w:val="24"/>
          <w:szCs w:val="24"/>
        </w:rPr>
        <w:t xml:space="preserve">The QSPR </w:t>
      </w:r>
      <w:r w:rsidR="00B32CC6" w:rsidRPr="00A546FF">
        <w:rPr>
          <w:rFonts w:ascii="Cambria" w:hAnsi="Cambria"/>
          <w:sz w:val="24"/>
          <w:szCs w:val="24"/>
        </w:rPr>
        <w:t xml:space="preserve">is </w:t>
      </w:r>
      <w:r w:rsidR="00B066D8" w:rsidRPr="00A546FF">
        <w:rPr>
          <w:rFonts w:ascii="Cambria" w:hAnsi="Cambria"/>
          <w:sz w:val="24"/>
          <w:szCs w:val="24"/>
        </w:rPr>
        <w:t xml:space="preserve">administered by the Service Quality and Practice Improvement Unit, a public-private partnership between the Division and </w:t>
      </w:r>
      <w:r w:rsidR="00A546FF" w:rsidRPr="00A546FF">
        <w:rPr>
          <w:rFonts w:ascii="Cambria" w:hAnsi="Cambria"/>
          <w:sz w:val="24"/>
          <w:szCs w:val="24"/>
        </w:rPr>
        <w:t>Public Consulting Group</w:t>
      </w:r>
      <w:r w:rsidR="00B066D8" w:rsidRPr="00A546FF">
        <w:rPr>
          <w:rFonts w:ascii="Cambria" w:hAnsi="Cambria"/>
          <w:sz w:val="24"/>
          <w:szCs w:val="24"/>
        </w:rPr>
        <w:t>, Inc</w:t>
      </w:r>
      <w:r w:rsidR="00A546FF" w:rsidRPr="00A546FF">
        <w:rPr>
          <w:rFonts w:ascii="Cambria" w:hAnsi="Cambria"/>
          <w:sz w:val="24"/>
          <w:szCs w:val="24"/>
        </w:rPr>
        <w:t xml:space="preserve">. </w:t>
      </w:r>
      <w:r w:rsidR="00A546FF">
        <w:rPr>
          <w:rFonts w:ascii="Cambria" w:hAnsi="Cambria"/>
          <w:sz w:val="24"/>
          <w:szCs w:val="24"/>
        </w:rPr>
        <w:t>(</w:t>
      </w:r>
      <w:r w:rsidR="00A546FF" w:rsidRPr="00A546FF">
        <w:rPr>
          <w:rFonts w:ascii="Cambria" w:hAnsi="Cambria"/>
          <w:sz w:val="24"/>
          <w:szCs w:val="24"/>
        </w:rPr>
        <w:t>PCG</w:t>
      </w:r>
      <w:r w:rsidR="00B32CC6" w:rsidRPr="00A546FF">
        <w:rPr>
          <w:rFonts w:ascii="Cambria" w:hAnsi="Cambria"/>
          <w:sz w:val="24"/>
          <w:szCs w:val="24"/>
        </w:rPr>
        <w:t>)</w:t>
      </w:r>
      <w:r w:rsidR="002B23CB">
        <w:rPr>
          <w:rFonts w:ascii="Cambria" w:hAnsi="Cambria"/>
          <w:sz w:val="24"/>
          <w:szCs w:val="24"/>
        </w:rPr>
        <w:t xml:space="preserve">, which is comprised </w:t>
      </w:r>
      <w:r w:rsidR="00B066D8" w:rsidRPr="00A546FF">
        <w:rPr>
          <w:rFonts w:ascii="Cambria" w:hAnsi="Cambria"/>
          <w:sz w:val="24"/>
          <w:szCs w:val="24"/>
        </w:rPr>
        <w:t>of both State and contract</w:t>
      </w:r>
      <w:r w:rsidR="00B32CC6" w:rsidRPr="00A546FF">
        <w:rPr>
          <w:rFonts w:ascii="Cambria" w:hAnsi="Cambria"/>
          <w:sz w:val="24"/>
          <w:szCs w:val="24"/>
        </w:rPr>
        <w:t>ed</w:t>
      </w:r>
      <w:r w:rsidR="00B066D8" w:rsidRPr="00A546FF">
        <w:rPr>
          <w:rFonts w:ascii="Cambria" w:hAnsi="Cambria"/>
          <w:sz w:val="24"/>
          <w:szCs w:val="24"/>
        </w:rPr>
        <w:t xml:space="preserve"> quality assurance reviewers</w:t>
      </w:r>
      <w:r w:rsidR="002B23CB">
        <w:rPr>
          <w:rFonts w:ascii="Cambria" w:hAnsi="Cambria"/>
          <w:sz w:val="24"/>
          <w:szCs w:val="24"/>
        </w:rPr>
        <w:t>. The team is managed by a</w:t>
      </w:r>
      <w:r w:rsidR="00B066D8" w:rsidRPr="00A546FF">
        <w:rPr>
          <w:rFonts w:ascii="Cambria" w:hAnsi="Cambria"/>
          <w:sz w:val="24"/>
          <w:szCs w:val="24"/>
        </w:rPr>
        <w:t xml:space="preserve"> </w:t>
      </w:r>
      <w:r w:rsidR="00A546FF" w:rsidRPr="00A546FF">
        <w:rPr>
          <w:rFonts w:ascii="Cambria" w:hAnsi="Cambria"/>
          <w:sz w:val="24"/>
          <w:szCs w:val="24"/>
        </w:rPr>
        <w:t>PCG</w:t>
      </w:r>
      <w:r w:rsidR="00B066D8" w:rsidRPr="00A546FF">
        <w:rPr>
          <w:rFonts w:ascii="Cambria" w:hAnsi="Cambria"/>
          <w:sz w:val="24"/>
          <w:szCs w:val="24"/>
        </w:rPr>
        <w:t xml:space="preserve"> manager </w:t>
      </w:r>
      <w:r w:rsidR="00F45A9D">
        <w:rPr>
          <w:rFonts w:ascii="Cambria" w:hAnsi="Cambria"/>
          <w:sz w:val="24"/>
          <w:szCs w:val="24"/>
        </w:rPr>
        <w:t xml:space="preserve">who is </w:t>
      </w:r>
      <w:r w:rsidR="00B066D8" w:rsidRPr="00A546FF">
        <w:rPr>
          <w:rFonts w:ascii="Cambria" w:hAnsi="Cambria"/>
          <w:sz w:val="24"/>
          <w:szCs w:val="24"/>
        </w:rPr>
        <w:t>responsible for overseeing the QSPR process</w:t>
      </w:r>
      <w:r w:rsidR="00640386" w:rsidRPr="00A546FF">
        <w:rPr>
          <w:rFonts w:ascii="Cambria" w:hAnsi="Cambria"/>
          <w:sz w:val="24"/>
          <w:szCs w:val="24"/>
        </w:rPr>
        <w:t>.</w:t>
      </w:r>
      <w:r w:rsidR="00B066D8" w:rsidRPr="00B066D8">
        <w:rPr>
          <w:rFonts w:ascii="Cambria" w:hAnsi="Cambria"/>
          <w:sz w:val="24"/>
          <w:szCs w:val="24"/>
        </w:rPr>
        <w:t xml:space="preserve"> </w:t>
      </w:r>
    </w:p>
    <w:p w14:paraId="4C42795D" w14:textId="77777777" w:rsidR="00B066D8" w:rsidRPr="00B066D8" w:rsidRDefault="00B066D8" w:rsidP="00B066D8">
      <w:pPr>
        <w:spacing w:after="0" w:line="240" w:lineRule="auto"/>
        <w:jc w:val="both"/>
        <w:rPr>
          <w:rFonts w:ascii="Cambria" w:hAnsi="Cambria"/>
          <w:sz w:val="24"/>
          <w:szCs w:val="24"/>
        </w:rPr>
      </w:pPr>
    </w:p>
    <w:p w14:paraId="4CB476AD" w14:textId="44F211AA" w:rsidR="00305576" w:rsidRDefault="00B066D8" w:rsidP="00B066D8">
      <w:pPr>
        <w:spacing w:after="0" w:line="240" w:lineRule="auto"/>
        <w:jc w:val="both"/>
        <w:rPr>
          <w:rFonts w:ascii="Cambria" w:hAnsi="Cambria"/>
          <w:sz w:val="24"/>
          <w:szCs w:val="24"/>
        </w:rPr>
      </w:pPr>
      <w:r w:rsidRPr="00B066D8">
        <w:rPr>
          <w:rFonts w:ascii="Cambria" w:hAnsi="Cambria"/>
          <w:sz w:val="24"/>
          <w:szCs w:val="24"/>
        </w:rPr>
        <w:t>Arkansas’s QSPR process utilizes the federal Child and Family Services Review (CFSR) onsite review instrument (OSRI)</w:t>
      </w:r>
      <w:r w:rsidR="00F45A9D">
        <w:rPr>
          <w:rFonts w:ascii="Cambria" w:hAnsi="Cambria"/>
          <w:sz w:val="24"/>
          <w:szCs w:val="24"/>
        </w:rPr>
        <w:t>, with</w:t>
      </w:r>
      <w:r w:rsidR="00640386">
        <w:rPr>
          <w:rFonts w:ascii="Cambria" w:hAnsi="Cambria"/>
          <w:sz w:val="24"/>
          <w:szCs w:val="24"/>
        </w:rPr>
        <w:t xml:space="preserve"> </w:t>
      </w:r>
      <w:r w:rsidR="006913FF" w:rsidRPr="006913FF">
        <w:rPr>
          <w:rFonts w:ascii="Cambria" w:hAnsi="Cambria"/>
          <w:sz w:val="24"/>
          <w:szCs w:val="24"/>
        </w:rPr>
        <w:t>the Division adopt</w:t>
      </w:r>
      <w:r w:rsidR="00F45A9D">
        <w:rPr>
          <w:rFonts w:ascii="Cambria" w:hAnsi="Cambria"/>
          <w:sz w:val="24"/>
          <w:szCs w:val="24"/>
        </w:rPr>
        <w:t>ing</w:t>
      </w:r>
      <w:r w:rsidR="006913FF" w:rsidRPr="006913FF">
        <w:rPr>
          <w:rFonts w:ascii="Cambria" w:hAnsi="Cambria"/>
          <w:sz w:val="24"/>
          <w:szCs w:val="24"/>
        </w:rPr>
        <w:t xml:space="preserve"> the OSRI developed for Round 3 </w:t>
      </w:r>
      <w:r w:rsidR="00B32CC6">
        <w:rPr>
          <w:rFonts w:ascii="Cambria" w:hAnsi="Cambria"/>
          <w:sz w:val="24"/>
          <w:szCs w:val="24"/>
        </w:rPr>
        <w:t>of the CFSR</w:t>
      </w:r>
      <w:r w:rsidR="00F45A9D">
        <w:rPr>
          <w:rFonts w:ascii="Cambria" w:hAnsi="Cambria"/>
          <w:sz w:val="24"/>
          <w:szCs w:val="24"/>
        </w:rPr>
        <w:t xml:space="preserve"> for its </w:t>
      </w:r>
      <w:r w:rsidR="002B23CB">
        <w:rPr>
          <w:rFonts w:ascii="Cambria" w:hAnsi="Cambria"/>
          <w:sz w:val="24"/>
          <w:szCs w:val="24"/>
        </w:rPr>
        <w:t xml:space="preserve">more </w:t>
      </w:r>
      <w:r w:rsidR="00F45A9D">
        <w:rPr>
          <w:rFonts w:ascii="Cambria" w:hAnsi="Cambria"/>
          <w:sz w:val="24"/>
          <w:szCs w:val="24"/>
        </w:rPr>
        <w:t>recent round of QSPR reviews</w:t>
      </w:r>
      <w:r w:rsidR="006913FF" w:rsidRPr="006913FF">
        <w:rPr>
          <w:rFonts w:ascii="Cambria" w:hAnsi="Cambria"/>
          <w:sz w:val="24"/>
          <w:szCs w:val="24"/>
        </w:rPr>
        <w:t>.</w:t>
      </w:r>
      <w:r w:rsidR="006913FF">
        <w:rPr>
          <w:rFonts w:ascii="Cambria" w:hAnsi="Cambria"/>
          <w:sz w:val="24"/>
          <w:szCs w:val="24"/>
        </w:rPr>
        <w:t xml:space="preserve"> </w:t>
      </w:r>
      <w:r w:rsidRPr="00B066D8">
        <w:rPr>
          <w:rFonts w:ascii="Cambria" w:hAnsi="Cambria"/>
          <w:sz w:val="24"/>
          <w:szCs w:val="24"/>
        </w:rPr>
        <w:t xml:space="preserve">The </w:t>
      </w:r>
      <w:r w:rsidR="00F45A9D">
        <w:rPr>
          <w:rFonts w:ascii="Cambria" w:hAnsi="Cambria"/>
          <w:sz w:val="24"/>
          <w:szCs w:val="24"/>
        </w:rPr>
        <w:t>instrument</w:t>
      </w:r>
      <w:r w:rsidRPr="00B066D8">
        <w:rPr>
          <w:rFonts w:ascii="Cambria" w:hAnsi="Cambria"/>
          <w:sz w:val="24"/>
          <w:szCs w:val="24"/>
        </w:rPr>
        <w:t xml:space="preserve"> focuses on the </w:t>
      </w:r>
      <w:r w:rsidR="00B01610">
        <w:rPr>
          <w:rFonts w:ascii="Cambria" w:hAnsi="Cambria"/>
          <w:sz w:val="24"/>
          <w:szCs w:val="24"/>
        </w:rPr>
        <w:t>three</w:t>
      </w:r>
      <w:r w:rsidRPr="00B066D8">
        <w:rPr>
          <w:rFonts w:ascii="Cambria" w:hAnsi="Cambria"/>
          <w:sz w:val="24"/>
          <w:szCs w:val="24"/>
        </w:rPr>
        <w:t xml:space="preserve"> broad goals of child welfare, i</w:t>
      </w:r>
      <w:r w:rsidR="00F45A9D">
        <w:rPr>
          <w:rFonts w:ascii="Cambria" w:hAnsi="Cambria"/>
          <w:sz w:val="24"/>
          <w:szCs w:val="24"/>
        </w:rPr>
        <w:t xml:space="preserve">.e., </w:t>
      </w:r>
      <w:r w:rsidRPr="00B066D8">
        <w:rPr>
          <w:rFonts w:ascii="Cambria" w:hAnsi="Cambria"/>
          <w:sz w:val="24"/>
          <w:szCs w:val="24"/>
        </w:rPr>
        <w:t xml:space="preserve">child safety, permanency and well-being.  Consistent with the </w:t>
      </w:r>
      <w:r w:rsidR="00B32CC6">
        <w:rPr>
          <w:rFonts w:ascii="Cambria" w:hAnsi="Cambria"/>
          <w:sz w:val="24"/>
          <w:szCs w:val="24"/>
        </w:rPr>
        <w:t xml:space="preserve">current </w:t>
      </w:r>
      <w:r w:rsidRPr="00B066D8">
        <w:rPr>
          <w:rFonts w:ascii="Cambria" w:hAnsi="Cambria"/>
          <w:sz w:val="24"/>
          <w:szCs w:val="24"/>
        </w:rPr>
        <w:t xml:space="preserve">CFSR, the QSPR measures </w:t>
      </w:r>
      <w:r w:rsidR="006913FF">
        <w:rPr>
          <w:rFonts w:ascii="Cambria" w:hAnsi="Cambria"/>
          <w:sz w:val="24"/>
          <w:szCs w:val="24"/>
        </w:rPr>
        <w:t>seven</w:t>
      </w:r>
      <w:r w:rsidRPr="00B066D8">
        <w:rPr>
          <w:rFonts w:ascii="Cambria" w:hAnsi="Cambria"/>
          <w:sz w:val="24"/>
          <w:szCs w:val="24"/>
        </w:rPr>
        <w:t xml:space="preserve"> specific outcomes within these </w:t>
      </w:r>
      <w:r w:rsidR="006913FF">
        <w:rPr>
          <w:rFonts w:ascii="Cambria" w:hAnsi="Cambria"/>
          <w:sz w:val="24"/>
          <w:szCs w:val="24"/>
        </w:rPr>
        <w:t>three</w:t>
      </w:r>
      <w:r w:rsidRPr="00B066D8">
        <w:rPr>
          <w:rFonts w:ascii="Cambria" w:hAnsi="Cambria"/>
          <w:sz w:val="24"/>
          <w:szCs w:val="24"/>
        </w:rPr>
        <w:t xml:space="preserve"> broad goals by rating 18 individual items to identify strengths and areas of practice needing improvement. </w:t>
      </w:r>
      <w:r w:rsidR="00B01610" w:rsidRPr="00DC0AE7">
        <w:rPr>
          <w:rFonts w:ascii="Cambria" w:hAnsi="Cambria"/>
          <w:sz w:val="24"/>
          <w:szCs w:val="24"/>
        </w:rPr>
        <w:t xml:space="preserve">The </w:t>
      </w:r>
      <w:r w:rsidR="002B23CB">
        <w:rPr>
          <w:rFonts w:ascii="Cambria" w:hAnsi="Cambria"/>
          <w:sz w:val="24"/>
          <w:szCs w:val="24"/>
        </w:rPr>
        <w:t>o</w:t>
      </w:r>
      <w:r w:rsidR="00B01610" w:rsidRPr="00DC0AE7">
        <w:rPr>
          <w:rFonts w:ascii="Cambria" w:hAnsi="Cambria"/>
          <w:sz w:val="24"/>
          <w:szCs w:val="24"/>
        </w:rPr>
        <w:t xml:space="preserve">utcomes include two related to safety, two related to permanency and three related to child and family well-being.  Each individual </w:t>
      </w:r>
      <w:r w:rsidR="00B32CC6">
        <w:rPr>
          <w:rFonts w:ascii="Cambria" w:hAnsi="Cambria"/>
          <w:sz w:val="24"/>
          <w:szCs w:val="24"/>
        </w:rPr>
        <w:t>i</w:t>
      </w:r>
      <w:r w:rsidR="00B01610" w:rsidRPr="00DC0AE7">
        <w:rPr>
          <w:rFonts w:ascii="Cambria" w:hAnsi="Cambria"/>
          <w:sz w:val="24"/>
          <w:szCs w:val="24"/>
        </w:rPr>
        <w:t xml:space="preserve">tem consists of a series of questions related to one of those </w:t>
      </w:r>
      <w:r w:rsidR="00B32CC6">
        <w:rPr>
          <w:rFonts w:ascii="Cambria" w:hAnsi="Cambria"/>
          <w:sz w:val="24"/>
          <w:szCs w:val="24"/>
        </w:rPr>
        <w:t>o</w:t>
      </w:r>
      <w:r w:rsidR="00B01610" w:rsidRPr="00DC0AE7">
        <w:rPr>
          <w:rFonts w:ascii="Cambria" w:hAnsi="Cambria"/>
          <w:sz w:val="24"/>
          <w:szCs w:val="24"/>
        </w:rPr>
        <w:t>utcomes.</w:t>
      </w:r>
      <w:r w:rsidR="00B9159D">
        <w:rPr>
          <w:rFonts w:ascii="Cambria" w:hAnsi="Cambria"/>
          <w:sz w:val="24"/>
          <w:szCs w:val="24"/>
        </w:rPr>
        <w:t xml:space="preserve">  </w:t>
      </w:r>
      <w:r w:rsidR="00305576" w:rsidRPr="00305576">
        <w:rPr>
          <w:rFonts w:ascii="Cambria" w:hAnsi="Cambria"/>
          <w:sz w:val="24"/>
          <w:szCs w:val="24"/>
        </w:rPr>
        <w:t>In completing the instrument, reviewers conduct case file reviews and case-related interviews with children, parents, foster parents, caseworkers, and other professionals involved with the child.</w:t>
      </w:r>
      <w:r w:rsidR="00B9159D">
        <w:rPr>
          <w:rFonts w:ascii="Cambria" w:hAnsi="Cambria"/>
          <w:sz w:val="24"/>
          <w:szCs w:val="24"/>
        </w:rPr>
        <w:t xml:space="preserve">  </w:t>
      </w:r>
      <w:r w:rsidR="00B9159D" w:rsidRPr="00B9159D">
        <w:rPr>
          <w:rFonts w:ascii="Cambria" w:hAnsi="Cambria"/>
          <w:sz w:val="24"/>
          <w:szCs w:val="24"/>
        </w:rPr>
        <w:t xml:space="preserve">Each case </w:t>
      </w:r>
      <w:r w:rsidR="00B9159D">
        <w:rPr>
          <w:rFonts w:ascii="Cambria" w:hAnsi="Cambria"/>
          <w:sz w:val="24"/>
          <w:szCs w:val="24"/>
        </w:rPr>
        <w:t>is</w:t>
      </w:r>
      <w:r w:rsidR="00B9159D" w:rsidRPr="00B9159D">
        <w:rPr>
          <w:rFonts w:ascii="Cambria" w:hAnsi="Cambria"/>
          <w:sz w:val="24"/>
          <w:szCs w:val="24"/>
        </w:rPr>
        <w:t xml:space="preserve"> rated in adherence with the specific instructions outlined in the OSRI</w:t>
      </w:r>
      <w:r w:rsidR="00B9159D" w:rsidRPr="00B9159D">
        <w:rPr>
          <w:sz w:val="24"/>
          <w:szCs w:val="24"/>
        </w:rPr>
        <w:t xml:space="preserve"> </w:t>
      </w:r>
      <w:r w:rsidR="00B9159D" w:rsidRPr="00B9159D">
        <w:rPr>
          <w:rFonts w:ascii="Cambria" w:hAnsi="Cambria"/>
          <w:sz w:val="24"/>
          <w:szCs w:val="24"/>
        </w:rPr>
        <w:t>based on the totality of information collected during the review.</w:t>
      </w:r>
      <w:r w:rsidR="00B9159D">
        <w:rPr>
          <w:rFonts w:ascii="Cambria" w:hAnsi="Cambria"/>
          <w:sz w:val="24"/>
          <w:szCs w:val="24"/>
        </w:rPr>
        <w:t xml:space="preserve">  </w:t>
      </w:r>
      <w:r w:rsidR="00B9159D" w:rsidRPr="00B9159D">
        <w:rPr>
          <w:rFonts w:ascii="Cambria" w:hAnsi="Cambria"/>
          <w:sz w:val="24"/>
          <w:szCs w:val="24"/>
        </w:rPr>
        <w:t xml:space="preserve">Both the quantitative and qualitative data collected </w:t>
      </w:r>
      <w:r w:rsidR="00B32CC6">
        <w:rPr>
          <w:rFonts w:ascii="Cambria" w:hAnsi="Cambria"/>
          <w:sz w:val="24"/>
          <w:szCs w:val="24"/>
        </w:rPr>
        <w:t>throughout the process are</w:t>
      </w:r>
      <w:r w:rsidR="00B9159D" w:rsidRPr="00B9159D">
        <w:rPr>
          <w:rFonts w:ascii="Cambria" w:hAnsi="Cambria"/>
          <w:sz w:val="24"/>
          <w:szCs w:val="24"/>
        </w:rPr>
        <w:t xml:space="preserve"> used to describe the effectiveness of agency interventions and services.</w:t>
      </w:r>
    </w:p>
    <w:p w14:paraId="4239AA15" w14:textId="77777777" w:rsidR="00305576" w:rsidRDefault="00305576" w:rsidP="00B066D8">
      <w:pPr>
        <w:spacing w:after="0" w:line="240" w:lineRule="auto"/>
        <w:jc w:val="both"/>
        <w:rPr>
          <w:rFonts w:ascii="Cambria" w:hAnsi="Cambria"/>
          <w:sz w:val="24"/>
          <w:szCs w:val="24"/>
        </w:rPr>
      </w:pPr>
    </w:p>
    <w:p w14:paraId="0A28502E" w14:textId="57FEC1F3" w:rsidR="001E5E1D" w:rsidRDefault="00531197" w:rsidP="00B066D8">
      <w:pPr>
        <w:spacing w:after="0" w:line="240" w:lineRule="auto"/>
        <w:jc w:val="both"/>
        <w:rPr>
          <w:rFonts w:ascii="Cambria" w:hAnsi="Cambria"/>
          <w:sz w:val="24"/>
          <w:szCs w:val="24"/>
        </w:rPr>
      </w:pPr>
      <w:r w:rsidRPr="00531197">
        <w:rPr>
          <w:rFonts w:ascii="Cambria" w:hAnsi="Cambria"/>
          <w:sz w:val="24"/>
          <w:szCs w:val="24"/>
        </w:rPr>
        <w:t xml:space="preserve">Quality assurance is an integral component of both the QSPR and CFSR processes. </w:t>
      </w:r>
      <w:r w:rsidR="004C68C4">
        <w:rPr>
          <w:rFonts w:ascii="Cambria" w:hAnsi="Cambria"/>
          <w:sz w:val="24"/>
          <w:szCs w:val="24"/>
        </w:rPr>
        <w:t xml:space="preserve"> </w:t>
      </w:r>
      <w:r w:rsidRPr="00531197">
        <w:rPr>
          <w:rFonts w:ascii="Cambria" w:hAnsi="Cambria"/>
          <w:sz w:val="24"/>
          <w:szCs w:val="24"/>
        </w:rPr>
        <w:t>Quality assurance (QA) activities are interwoven throughout the case review process to ensure fidelity to the methodology, integrity of the instrument and information contained therein</w:t>
      </w:r>
      <w:r w:rsidR="00B32CC6">
        <w:rPr>
          <w:rFonts w:ascii="Cambria" w:hAnsi="Cambria"/>
          <w:sz w:val="24"/>
          <w:szCs w:val="24"/>
        </w:rPr>
        <w:t>,</w:t>
      </w:r>
      <w:r w:rsidRPr="00531197">
        <w:rPr>
          <w:rFonts w:ascii="Cambria" w:hAnsi="Cambria"/>
          <w:sz w:val="24"/>
          <w:szCs w:val="24"/>
        </w:rPr>
        <w:t xml:space="preserve"> and accuracy of the ratings</w:t>
      </w:r>
      <w:r w:rsidR="00B13498">
        <w:rPr>
          <w:rFonts w:ascii="Cambria" w:hAnsi="Cambria"/>
          <w:sz w:val="24"/>
          <w:szCs w:val="24"/>
        </w:rPr>
        <w:t xml:space="preserve"> resulting from review of the data collected</w:t>
      </w:r>
      <w:r w:rsidRPr="00531197">
        <w:rPr>
          <w:rFonts w:ascii="Cambria" w:hAnsi="Cambria"/>
          <w:sz w:val="24"/>
          <w:szCs w:val="24"/>
        </w:rPr>
        <w:t>.  The QSPR quality assurance process adhere</w:t>
      </w:r>
      <w:r w:rsidR="00B32CC6">
        <w:rPr>
          <w:rFonts w:ascii="Cambria" w:hAnsi="Cambria"/>
          <w:sz w:val="24"/>
          <w:szCs w:val="24"/>
        </w:rPr>
        <w:t>s</w:t>
      </w:r>
      <w:r w:rsidRPr="00531197">
        <w:rPr>
          <w:rFonts w:ascii="Cambria" w:hAnsi="Cambria"/>
          <w:sz w:val="24"/>
          <w:szCs w:val="24"/>
        </w:rPr>
        <w:t xml:space="preserve"> to the Children’s Bureau’s expectations and safeguard</w:t>
      </w:r>
      <w:r w:rsidR="00B32CC6">
        <w:rPr>
          <w:rFonts w:ascii="Cambria" w:hAnsi="Cambria"/>
          <w:sz w:val="24"/>
          <w:szCs w:val="24"/>
        </w:rPr>
        <w:t>s</w:t>
      </w:r>
      <w:r w:rsidRPr="00531197">
        <w:rPr>
          <w:rFonts w:ascii="Cambria" w:hAnsi="Cambria"/>
          <w:sz w:val="24"/>
          <w:szCs w:val="24"/>
        </w:rPr>
        <w:t xml:space="preserve"> the validity and reliability of the findings.</w:t>
      </w:r>
      <w:r w:rsidR="004C68C4">
        <w:rPr>
          <w:rFonts w:ascii="Cambria" w:hAnsi="Cambria"/>
          <w:sz w:val="24"/>
          <w:szCs w:val="24"/>
        </w:rPr>
        <w:t xml:space="preserve">  </w:t>
      </w:r>
      <w:r w:rsidRPr="00531197">
        <w:rPr>
          <w:rFonts w:ascii="Cambria" w:hAnsi="Cambria"/>
          <w:sz w:val="24"/>
          <w:szCs w:val="24"/>
        </w:rPr>
        <w:t>All cases reviewed must undergo two levels of quality assurance. The first</w:t>
      </w:r>
      <w:r w:rsidR="00027D3D">
        <w:rPr>
          <w:rFonts w:ascii="Cambria" w:hAnsi="Cambria"/>
          <w:sz w:val="24"/>
          <w:szCs w:val="24"/>
        </w:rPr>
        <w:t xml:space="preserve"> </w:t>
      </w:r>
      <w:r w:rsidRPr="00531197">
        <w:rPr>
          <w:rFonts w:ascii="Cambria" w:hAnsi="Cambria"/>
          <w:sz w:val="24"/>
          <w:szCs w:val="24"/>
        </w:rPr>
        <w:t>level</w:t>
      </w:r>
      <w:r w:rsidR="00027D3D">
        <w:rPr>
          <w:rFonts w:ascii="Cambria" w:hAnsi="Cambria"/>
          <w:sz w:val="24"/>
          <w:szCs w:val="24"/>
        </w:rPr>
        <w:t xml:space="preserve"> of</w:t>
      </w:r>
      <w:r w:rsidRPr="00531197">
        <w:rPr>
          <w:rFonts w:ascii="Cambria" w:hAnsi="Cambria"/>
          <w:sz w:val="24"/>
          <w:szCs w:val="24"/>
        </w:rPr>
        <w:t xml:space="preserve"> QA ensures that reviewers are accurately rating cases and properly applying the federal instructions within the OSRI.</w:t>
      </w:r>
      <w:r w:rsidR="004C68C4">
        <w:rPr>
          <w:rFonts w:ascii="Cambria" w:hAnsi="Cambria"/>
          <w:sz w:val="24"/>
          <w:szCs w:val="24"/>
        </w:rPr>
        <w:t xml:space="preserve"> </w:t>
      </w:r>
      <w:r w:rsidRPr="00531197">
        <w:rPr>
          <w:rFonts w:ascii="Cambria" w:hAnsi="Cambria"/>
          <w:sz w:val="24"/>
          <w:szCs w:val="24"/>
        </w:rPr>
        <w:t xml:space="preserve"> The second</w:t>
      </w:r>
      <w:r w:rsidR="00027D3D">
        <w:rPr>
          <w:rFonts w:ascii="Cambria" w:hAnsi="Cambria"/>
          <w:sz w:val="24"/>
          <w:szCs w:val="24"/>
        </w:rPr>
        <w:t xml:space="preserve"> </w:t>
      </w:r>
      <w:r w:rsidRPr="00531197">
        <w:rPr>
          <w:rFonts w:ascii="Cambria" w:hAnsi="Cambria"/>
          <w:sz w:val="24"/>
          <w:szCs w:val="24"/>
        </w:rPr>
        <w:t>level</w:t>
      </w:r>
      <w:r w:rsidR="00027D3D">
        <w:rPr>
          <w:rFonts w:ascii="Cambria" w:hAnsi="Cambria"/>
          <w:sz w:val="24"/>
          <w:szCs w:val="24"/>
        </w:rPr>
        <w:t xml:space="preserve"> of</w:t>
      </w:r>
      <w:r w:rsidRPr="00531197">
        <w:rPr>
          <w:rFonts w:ascii="Cambria" w:hAnsi="Cambria"/>
          <w:sz w:val="24"/>
          <w:szCs w:val="24"/>
        </w:rPr>
        <w:t xml:space="preserve"> QA ensures consistency among all cases reviewed across reviewers and throughout all service areas within the state.</w:t>
      </w:r>
      <w:r w:rsidR="004C68C4">
        <w:rPr>
          <w:rFonts w:ascii="Cambria" w:hAnsi="Cambria"/>
          <w:sz w:val="24"/>
          <w:szCs w:val="24"/>
        </w:rPr>
        <w:t xml:space="preserve">  </w:t>
      </w:r>
      <w:r w:rsidRPr="00531197">
        <w:rPr>
          <w:rFonts w:ascii="Cambria" w:hAnsi="Cambria"/>
          <w:sz w:val="24"/>
          <w:szCs w:val="24"/>
        </w:rPr>
        <w:t xml:space="preserve">Both levels of quality assurance use a collaborative approach and place shared responsibility on both the reviewer and </w:t>
      </w:r>
      <w:r w:rsidR="00B13498">
        <w:rPr>
          <w:rFonts w:ascii="Cambria" w:hAnsi="Cambria"/>
          <w:sz w:val="24"/>
          <w:szCs w:val="24"/>
        </w:rPr>
        <w:t xml:space="preserve">the </w:t>
      </w:r>
      <w:r w:rsidRPr="00531197">
        <w:rPr>
          <w:rFonts w:ascii="Cambria" w:hAnsi="Cambria"/>
          <w:sz w:val="24"/>
          <w:szCs w:val="24"/>
        </w:rPr>
        <w:t xml:space="preserve">QA staff. </w:t>
      </w:r>
      <w:r w:rsidR="004C68C4">
        <w:rPr>
          <w:rFonts w:ascii="Cambria" w:hAnsi="Cambria"/>
          <w:sz w:val="24"/>
          <w:szCs w:val="24"/>
        </w:rPr>
        <w:t xml:space="preserve"> </w:t>
      </w:r>
      <w:r w:rsidRPr="00531197">
        <w:rPr>
          <w:rFonts w:ascii="Cambria" w:hAnsi="Cambria"/>
          <w:sz w:val="24"/>
          <w:szCs w:val="24"/>
        </w:rPr>
        <w:t xml:space="preserve">Reviewers gather and reconcile </w:t>
      </w:r>
      <w:r w:rsidRPr="00531197">
        <w:rPr>
          <w:rFonts w:ascii="Cambria" w:hAnsi="Cambria"/>
          <w:sz w:val="24"/>
          <w:szCs w:val="24"/>
        </w:rPr>
        <w:lastRenderedPageBreak/>
        <w:t>the information needed to answer the relevant questions using the guidance within, and supplemental to, the instrument and the support and guidance of the quality assurance team. QA staff assist in all phases of the review, from preparation of the case</w:t>
      </w:r>
      <w:r w:rsidR="00027D3D">
        <w:rPr>
          <w:rFonts w:ascii="Cambria" w:hAnsi="Cambria"/>
          <w:sz w:val="24"/>
          <w:szCs w:val="24"/>
        </w:rPr>
        <w:t>s</w:t>
      </w:r>
      <w:r w:rsidRPr="00531197">
        <w:rPr>
          <w:rFonts w:ascii="Cambria" w:hAnsi="Cambria"/>
          <w:sz w:val="24"/>
          <w:szCs w:val="24"/>
        </w:rPr>
        <w:t xml:space="preserve"> for the review through the completion of the instrument, by answering questions, working with reviewers on clarifying issues and assisting reviewers in evaluating/reconciling information to arrive at appropriate case ratings. </w:t>
      </w:r>
      <w:r w:rsidR="004C68C4">
        <w:rPr>
          <w:rFonts w:ascii="Cambria" w:hAnsi="Cambria"/>
          <w:sz w:val="24"/>
          <w:szCs w:val="24"/>
        </w:rPr>
        <w:t xml:space="preserve"> </w:t>
      </w:r>
      <w:r w:rsidRPr="00531197">
        <w:rPr>
          <w:rFonts w:ascii="Cambria" w:hAnsi="Cambria"/>
          <w:sz w:val="24"/>
          <w:szCs w:val="24"/>
        </w:rPr>
        <w:t xml:space="preserve">Secondary oversight is conducted on </w:t>
      </w:r>
      <w:r w:rsidR="00A546FF">
        <w:rPr>
          <w:rFonts w:ascii="Cambria" w:hAnsi="Cambria"/>
          <w:sz w:val="24"/>
          <w:szCs w:val="24"/>
        </w:rPr>
        <w:t>all</w:t>
      </w:r>
      <w:r w:rsidRPr="00531197">
        <w:rPr>
          <w:rFonts w:ascii="Cambria" w:hAnsi="Cambria"/>
          <w:sz w:val="24"/>
          <w:szCs w:val="24"/>
        </w:rPr>
        <w:t xml:space="preserve"> reviewed cases once the first-level QA and OSRI are completed.</w:t>
      </w:r>
      <w:r w:rsidR="004C68C4">
        <w:rPr>
          <w:rFonts w:ascii="Cambria" w:hAnsi="Cambria"/>
          <w:sz w:val="24"/>
          <w:szCs w:val="24"/>
        </w:rPr>
        <w:t xml:space="preserve"> </w:t>
      </w:r>
      <w:r w:rsidRPr="00531197">
        <w:rPr>
          <w:rFonts w:ascii="Cambria" w:hAnsi="Cambria"/>
          <w:sz w:val="24"/>
          <w:szCs w:val="24"/>
        </w:rPr>
        <w:t xml:space="preserve"> The second-level QA is conducted by a QA staff person other than the individual assigned to the first-level QA, relying on more than one individual to verify </w:t>
      </w:r>
      <w:r w:rsidR="006330D5">
        <w:rPr>
          <w:rFonts w:ascii="Cambria" w:hAnsi="Cambria"/>
          <w:sz w:val="24"/>
          <w:szCs w:val="24"/>
        </w:rPr>
        <w:t xml:space="preserve">the </w:t>
      </w:r>
      <w:r w:rsidRPr="00531197">
        <w:rPr>
          <w:rFonts w:ascii="Cambria" w:hAnsi="Cambria"/>
          <w:sz w:val="24"/>
          <w:szCs w:val="24"/>
        </w:rPr>
        <w:t xml:space="preserve">case review information and ratings </w:t>
      </w:r>
      <w:r w:rsidR="006330D5">
        <w:rPr>
          <w:rFonts w:ascii="Cambria" w:hAnsi="Cambria"/>
          <w:sz w:val="24"/>
          <w:szCs w:val="24"/>
        </w:rPr>
        <w:t xml:space="preserve">are accurate </w:t>
      </w:r>
      <w:r w:rsidRPr="00531197">
        <w:rPr>
          <w:rFonts w:ascii="Cambria" w:hAnsi="Cambria"/>
          <w:sz w:val="24"/>
          <w:szCs w:val="24"/>
        </w:rPr>
        <w:t xml:space="preserve">to ensure inter-rater reliability and accurate </w:t>
      </w:r>
      <w:r w:rsidR="006330D5">
        <w:rPr>
          <w:rFonts w:ascii="Cambria" w:hAnsi="Cambria"/>
          <w:sz w:val="24"/>
          <w:szCs w:val="24"/>
        </w:rPr>
        <w:t>determinations</w:t>
      </w:r>
      <w:r w:rsidRPr="00531197">
        <w:rPr>
          <w:rFonts w:ascii="Cambria" w:hAnsi="Cambria"/>
          <w:sz w:val="24"/>
          <w:szCs w:val="24"/>
        </w:rPr>
        <w:t>.</w:t>
      </w:r>
      <w:r w:rsidR="004C68C4">
        <w:rPr>
          <w:rFonts w:ascii="Cambria" w:hAnsi="Cambria"/>
          <w:sz w:val="24"/>
          <w:szCs w:val="24"/>
        </w:rPr>
        <w:t xml:space="preserve"> </w:t>
      </w:r>
      <w:r w:rsidRPr="00531197">
        <w:rPr>
          <w:rFonts w:ascii="Cambria" w:hAnsi="Cambria"/>
          <w:sz w:val="24"/>
          <w:szCs w:val="24"/>
        </w:rPr>
        <w:t xml:space="preserve"> The focus of </w:t>
      </w:r>
      <w:r w:rsidR="00027D3D">
        <w:rPr>
          <w:rFonts w:ascii="Cambria" w:hAnsi="Cambria"/>
          <w:sz w:val="24"/>
          <w:szCs w:val="24"/>
        </w:rPr>
        <w:t xml:space="preserve">the </w:t>
      </w:r>
      <w:r w:rsidRPr="00531197">
        <w:rPr>
          <w:rFonts w:ascii="Cambria" w:hAnsi="Cambria"/>
          <w:sz w:val="24"/>
          <w:szCs w:val="24"/>
        </w:rPr>
        <w:t>secondary oversight is to ensure consistency across the review sites and all reviewers.</w:t>
      </w:r>
      <w:r w:rsidR="001E5E1D">
        <w:rPr>
          <w:rFonts w:ascii="Cambria" w:hAnsi="Cambria"/>
          <w:sz w:val="24"/>
          <w:szCs w:val="24"/>
        </w:rPr>
        <w:t xml:space="preserve">  </w:t>
      </w:r>
    </w:p>
    <w:p w14:paraId="48B51160" w14:textId="77777777" w:rsidR="001E5E1D" w:rsidRDefault="001E5E1D" w:rsidP="00B066D8">
      <w:pPr>
        <w:spacing w:after="0" w:line="240" w:lineRule="auto"/>
        <w:jc w:val="both"/>
        <w:rPr>
          <w:rFonts w:ascii="Cambria" w:hAnsi="Cambria"/>
          <w:sz w:val="24"/>
          <w:szCs w:val="24"/>
        </w:rPr>
      </w:pPr>
    </w:p>
    <w:p w14:paraId="6EC5DB71" w14:textId="0049D886" w:rsidR="00027D3D" w:rsidRDefault="00A546FF" w:rsidP="00A546FF">
      <w:pPr>
        <w:spacing w:after="0" w:line="240" w:lineRule="auto"/>
        <w:jc w:val="both"/>
        <w:rPr>
          <w:rFonts w:asciiTheme="majorHAnsi" w:eastAsia="Times New Roman" w:hAnsiTheme="majorHAnsi"/>
          <w:sz w:val="24"/>
          <w:szCs w:val="24"/>
        </w:rPr>
      </w:pPr>
      <w:r w:rsidRPr="009D334A">
        <w:rPr>
          <w:rFonts w:asciiTheme="majorHAnsi" w:eastAsia="Times New Roman" w:hAnsiTheme="majorHAnsi"/>
          <w:sz w:val="24"/>
          <w:szCs w:val="24"/>
        </w:rPr>
        <w:t xml:space="preserve">For </w:t>
      </w:r>
      <w:r w:rsidR="00027D3D">
        <w:rPr>
          <w:rFonts w:asciiTheme="majorHAnsi" w:eastAsia="Times New Roman" w:hAnsiTheme="majorHAnsi"/>
          <w:sz w:val="24"/>
          <w:szCs w:val="24"/>
        </w:rPr>
        <w:t>State Fiscal Year (</w:t>
      </w:r>
      <w:r w:rsidRPr="009D334A">
        <w:rPr>
          <w:rFonts w:asciiTheme="majorHAnsi" w:eastAsia="Times New Roman" w:hAnsiTheme="majorHAnsi"/>
          <w:sz w:val="24"/>
          <w:szCs w:val="24"/>
        </w:rPr>
        <w:t>SFY</w:t>
      </w:r>
      <w:r w:rsidR="00027D3D">
        <w:rPr>
          <w:rFonts w:asciiTheme="majorHAnsi" w:eastAsia="Times New Roman" w:hAnsiTheme="majorHAnsi"/>
          <w:sz w:val="24"/>
          <w:szCs w:val="24"/>
        </w:rPr>
        <w:t>)</w:t>
      </w:r>
      <w:r w:rsidRPr="009D334A">
        <w:rPr>
          <w:rFonts w:asciiTheme="majorHAnsi" w:eastAsia="Times New Roman" w:hAnsiTheme="majorHAnsi"/>
          <w:sz w:val="24"/>
          <w:szCs w:val="24"/>
        </w:rPr>
        <w:t xml:space="preserve"> 201</w:t>
      </w:r>
      <w:r w:rsidR="00A53197">
        <w:rPr>
          <w:rFonts w:asciiTheme="majorHAnsi" w:eastAsia="Times New Roman" w:hAnsiTheme="majorHAnsi"/>
          <w:sz w:val="24"/>
          <w:szCs w:val="24"/>
        </w:rPr>
        <w:t>9</w:t>
      </w:r>
      <w:r w:rsidRPr="009D334A">
        <w:rPr>
          <w:rFonts w:asciiTheme="majorHAnsi" w:eastAsia="Times New Roman" w:hAnsiTheme="majorHAnsi"/>
          <w:sz w:val="24"/>
          <w:szCs w:val="24"/>
        </w:rPr>
        <w:t xml:space="preserve">, twenty </w:t>
      </w:r>
      <w:r w:rsidR="00027D3D">
        <w:rPr>
          <w:rFonts w:asciiTheme="majorHAnsi" w:eastAsia="Times New Roman" w:hAnsiTheme="majorHAnsi"/>
          <w:sz w:val="24"/>
          <w:szCs w:val="24"/>
        </w:rPr>
        <w:t xml:space="preserve">cases </w:t>
      </w:r>
      <w:r w:rsidR="00027D3D" w:rsidRPr="009D334A">
        <w:rPr>
          <w:rFonts w:asciiTheme="majorHAnsi" w:eastAsia="Times New Roman" w:hAnsiTheme="majorHAnsi"/>
          <w:sz w:val="24"/>
          <w:szCs w:val="24"/>
        </w:rPr>
        <w:t>(12 foster care and 8 in-home cases)</w:t>
      </w:r>
      <w:r w:rsidR="00027D3D">
        <w:rPr>
          <w:rFonts w:asciiTheme="majorHAnsi" w:eastAsia="Times New Roman" w:hAnsiTheme="majorHAnsi"/>
          <w:sz w:val="24"/>
          <w:szCs w:val="24"/>
        </w:rPr>
        <w:t xml:space="preserve"> were selected using a </w:t>
      </w:r>
      <w:r w:rsidRPr="009D334A">
        <w:rPr>
          <w:rFonts w:asciiTheme="majorHAnsi" w:eastAsia="Times New Roman" w:hAnsiTheme="majorHAnsi"/>
          <w:sz w:val="24"/>
          <w:szCs w:val="24"/>
        </w:rPr>
        <w:t>stratified</w:t>
      </w:r>
      <w:r w:rsidR="00027D3D">
        <w:rPr>
          <w:rFonts w:asciiTheme="majorHAnsi" w:eastAsia="Times New Roman" w:hAnsiTheme="majorHAnsi"/>
          <w:sz w:val="24"/>
          <w:szCs w:val="24"/>
        </w:rPr>
        <w:t xml:space="preserve"> and</w:t>
      </w:r>
      <w:r w:rsidRPr="009D334A">
        <w:rPr>
          <w:rFonts w:asciiTheme="majorHAnsi" w:eastAsia="Times New Roman" w:hAnsiTheme="majorHAnsi"/>
          <w:sz w:val="24"/>
          <w:szCs w:val="24"/>
        </w:rPr>
        <w:t xml:space="preserve"> randomly selected </w:t>
      </w:r>
      <w:r w:rsidR="00027D3D">
        <w:rPr>
          <w:rFonts w:asciiTheme="majorHAnsi" w:eastAsia="Times New Roman" w:hAnsiTheme="majorHAnsi"/>
          <w:sz w:val="24"/>
          <w:szCs w:val="24"/>
        </w:rPr>
        <w:t xml:space="preserve">technique </w:t>
      </w:r>
      <w:r w:rsidRPr="009D334A">
        <w:rPr>
          <w:rFonts w:asciiTheme="majorHAnsi" w:eastAsia="Times New Roman" w:hAnsiTheme="majorHAnsi"/>
          <w:sz w:val="24"/>
          <w:szCs w:val="24"/>
        </w:rPr>
        <w:t xml:space="preserve">  </w:t>
      </w:r>
      <w:r w:rsidR="00027D3D">
        <w:rPr>
          <w:rFonts w:asciiTheme="majorHAnsi" w:eastAsia="Times New Roman" w:hAnsiTheme="majorHAnsi"/>
          <w:sz w:val="24"/>
          <w:szCs w:val="24"/>
        </w:rPr>
        <w:t>for</w:t>
      </w:r>
      <w:r w:rsidR="00027D3D" w:rsidRPr="009D334A">
        <w:rPr>
          <w:rFonts w:asciiTheme="majorHAnsi" w:eastAsia="Times New Roman" w:hAnsiTheme="majorHAnsi"/>
          <w:sz w:val="24"/>
          <w:szCs w:val="24"/>
        </w:rPr>
        <w:t xml:space="preserve"> </w:t>
      </w:r>
      <w:r w:rsidRPr="009D334A">
        <w:rPr>
          <w:rFonts w:asciiTheme="majorHAnsi" w:eastAsia="Times New Roman" w:hAnsiTheme="majorHAnsi"/>
          <w:sz w:val="24"/>
          <w:szCs w:val="24"/>
        </w:rPr>
        <w:t xml:space="preserve">each of </w:t>
      </w:r>
      <w:r w:rsidR="0053426A">
        <w:rPr>
          <w:rFonts w:asciiTheme="majorHAnsi" w:eastAsia="Times New Roman" w:hAnsiTheme="majorHAnsi"/>
          <w:sz w:val="24"/>
          <w:szCs w:val="24"/>
        </w:rPr>
        <w:t xml:space="preserve">DCFS’ </w:t>
      </w:r>
      <w:r w:rsidRPr="009D334A">
        <w:rPr>
          <w:rFonts w:asciiTheme="majorHAnsi" w:eastAsia="Times New Roman" w:hAnsiTheme="majorHAnsi"/>
          <w:sz w:val="24"/>
          <w:szCs w:val="24"/>
        </w:rPr>
        <w:t>ten service areas</w:t>
      </w:r>
      <w:r w:rsidR="00027D3D">
        <w:rPr>
          <w:rFonts w:asciiTheme="majorHAnsi" w:eastAsia="Times New Roman" w:hAnsiTheme="majorHAnsi"/>
          <w:sz w:val="24"/>
          <w:szCs w:val="24"/>
        </w:rPr>
        <w:t xml:space="preserve">. A </w:t>
      </w:r>
      <w:r w:rsidR="00027D3D" w:rsidRPr="009D334A">
        <w:rPr>
          <w:rFonts w:asciiTheme="majorHAnsi" w:eastAsia="Times New Roman" w:hAnsiTheme="majorHAnsi"/>
          <w:sz w:val="24"/>
          <w:szCs w:val="24"/>
        </w:rPr>
        <w:t>total</w:t>
      </w:r>
      <w:r w:rsidR="00027D3D">
        <w:rPr>
          <w:rFonts w:asciiTheme="majorHAnsi" w:eastAsia="Times New Roman" w:hAnsiTheme="majorHAnsi"/>
          <w:sz w:val="24"/>
          <w:szCs w:val="24"/>
        </w:rPr>
        <w:t xml:space="preserve"> of</w:t>
      </w:r>
      <w:r w:rsidR="00027D3D" w:rsidRPr="009D334A">
        <w:rPr>
          <w:rFonts w:asciiTheme="majorHAnsi" w:eastAsia="Times New Roman" w:hAnsiTheme="majorHAnsi"/>
          <w:sz w:val="24"/>
          <w:szCs w:val="24"/>
        </w:rPr>
        <w:t xml:space="preserve"> </w:t>
      </w:r>
      <w:r w:rsidRPr="009D334A">
        <w:rPr>
          <w:rFonts w:asciiTheme="majorHAnsi" w:eastAsia="Times New Roman" w:hAnsiTheme="majorHAnsi"/>
          <w:sz w:val="24"/>
          <w:szCs w:val="24"/>
        </w:rPr>
        <w:t>200 cases</w:t>
      </w:r>
      <w:r w:rsidR="00027D3D">
        <w:rPr>
          <w:rFonts w:asciiTheme="majorHAnsi" w:eastAsia="Times New Roman" w:hAnsiTheme="majorHAnsi"/>
          <w:sz w:val="24"/>
          <w:szCs w:val="24"/>
        </w:rPr>
        <w:t xml:space="preserve"> were reviewed</w:t>
      </w:r>
      <w:r w:rsidRPr="009D334A">
        <w:rPr>
          <w:rFonts w:asciiTheme="majorHAnsi" w:eastAsia="Times New Roman" w:hAnsiTheme="majorHAnsi"/>
          <w:sz w:val="24"/>
          <w:szCs w:val="24"/>
        </w:rPr>
        <w:t xml:space="preserve"> statewide</w:t>
      </w:r>
      <w:r w:rsidR="00027D3D">
        <w:rPr>
          <w:rFonts w:asciiTheme="majorHAnsi" w:eastAsia="Times New Roman" w:hAnsiTheme="majorHAnsi"/>
          <w:sz w:val="24"/>
          <w:szCs w:val="24"/>
        </w:rPr>
        <w:t xml:space="preserve"> over</w:t>
      </w:r>
      <w:r w:rsidRPr="009D334A">
        <w:rPr>
          <w:rFonts w:asciiTheme="majorHAnsi" w:eastAsia="Times New Roman" w:hAnsiTheme="majorHAnsi"/>
          <w:sz w:val="24"/>
          <w:szCs w:val="24"/>
        </w:rPr>
        <w:t xml:space="preserve"> a twelve-month period</w:t>
      </w:r>
      <w:r w:rsidR="00027D3D">
        <w:rPr>
          <w:rFonts w:asciiTheme="majorHAnsi" w:eastAsia="Times New Roman" w:hAnsiTheme="majorHAnsi"/>
          <w:sz w:val="24"/>
          <w:szCs w:val="24"/>
        </w:rPr>
        <w:t>. The stratified sample is</w:t>
      </w:r>
      <w:r w:rsidRPr="009D334A">
        <w:rPr>
          <w:rFonts w:asciiTheme="majorHAnsi" w:eastAsia="Times New Roman" w:hAnsiTheme="majorHAnsi"/>
          <w:sz w:val="24"/>
          <w:szCs w:val="24"/>
        </w:rPr>
        <w:t xml:space="preserve"> reflective of Arkansas’ ratio of foster care (60 percent) to in-home cases (40 percent).  The SFY 201</w:t>
      </w:r>
      <w:r w:rsidR="00A53197">
        <w:rPr>
          <w:rFonts w:asciiTheme="majorHAnsi" w:eastAsia="Times New Roman" w:hAnsiTheme="majorHAnsi"/>
          <w:sz w:val="24"/>
          <w:szCs w:val="24"/>
        </w:rPr>
        <w:t>9</w:t>
      </w:r>
      <w:r w:rsidRPr="009D334A">
        <w:rPr>
          <w:rFonts w:asciiTheme="majorHAnsi" w:eastAsia="Times New Roman" w:hAnsiTheme="majorHAnsi"/>
          <w:sz w:val="24"/>
          <w:szCs w:val="24"/>
        </w:rPr>
        <w:t xml:space="preserve"> QSPR review began in Sep</w:t>
      </w:r>
      <w:r w:rsidR="00A53197">
        <w:rPr>
          <w:rFonts w:asciiTheme="majorHAnsi" w:eastAsia="Times New Roman" w:hAnsiTheme="majorHAnsi"/>
          <w:sz w:val="24"/>
          <w:szCs w:val="24"/>
        </w:rPr>
        <w:t xml:space="preserve">tember 2018 </w:t>
      </w:r>
      <w:r w:rsidRPr="009D334A">
        <w:rPr>
          <w:rFonts w:asciiTheme="majorHAnsi" w:eastAsia="Times New Roman" w:hAnsiTheme="majorHAnsi"/>
          <w:sz w:val="24"/>
          <w:szCs w:val="24"/>
        </w:rPr>
        <w:t xml:space="preserve">and the reviews in all ten service areas were completed and finalized in </w:t>
      </w:r>
      <w:r w:rsidR="00A53197">
        <w:rPr>
          <w:rFonts w:asciiTheme="majorHAnsi" w:eastAsia="Times New Roman" w:hAnsiTheme="majorHAnsi"/>
          <w:sz w:val="24"/>
          <w:szCs w:val="24"/>
        </w:rPr>
        <w:t xml:space="preserve">November </w:t>
      </w:r>
      <w:r w:rsidRPr="009D334A">
        <w:rPr>
          <w:rFonts w:asciiTheme="majorHAnsi" w:eastAsia="Times New Roman" w:hAnsiTheme="majorHAnsi"/>
          <w:sz w:val="24"/>
          <w:szCs w:val="24"/>
        </w:rPr>
        <w:t>201</w:t>
      </w:r>
      <w:r w:rsidR="00A53197">
        <w:rPr>
          <w:rFonts w:asciiTheme="majorHAnsi" w:eastAsia="Times New Roman" w:hAnsiTheme="majorHAnsi"/>
          <w:sz w:val="24"/>
          <w:szCs w:val="24"/>
        </w:rPr>
        <w:t>9</w:t>
      </w:r>
      <w:r w:rsidRPr="009D334A">
        <w:rPr>
          <w:rFonts w:asciiTheme="majorHAnsi" w:eastAsia="Times New Roman" w:hAnsiTheme="majorHAnsi"/>
          <w:sz w:val="24"/>
          <w:szCs w:val="24"/>
        </w:rPr>
        <w:t xml:space="preserve">.  </w:t>
      </w:r>
    </w:p>
    <w:p w14:paraId="556A4CF3" w14:textId="77777777" w:rsidR="00027D3D" w:rsidRDefault="00027D3D" w:rsidP="00A546FF">
      <w:pPr>
        <w:spacing w:after="0" w:line="240" w:lineRule="auto"/>
        <w:jc w:val="both"/>
        <w:rPr>
          <w:rFonts w:asciiTheme="majorHAnsi" w:eastAsia="Times New Roman" w:hAnsiTheme="majorHAnsi"/>
          <w:sz w:val="24"/>
          <w:szCs w:val="24"/>
        </w:rPr>
      </w:pPr>
    </w:p>
    <w:p w14:paraId="644ED406" w14:textId="3780708B" w:rsidR="00A546FF" w:rsidRPr="009D334A" w:rsidRDefault="00A546FF" w:rsidP="00A546FF">
      <w:pPr>
        <w:spacing w:after="0" w:line="240" w:lineRule="auto"/>
        <w:jc w:val="both"/>
        <w:rPr>
          <w:rFonts w:asciiTheme="majorHAnsi" w:eastAsia="Times New Roman" w:hAnsiTheme="majorHAnsi"/>
          <w:sz w:val="24"/>
          <w:szCs w:val="24"/>
        </w:rPr>
      </w:pPr>
      <w:r w:rsidRPr="009D334A">
        <w:rPr>
          <w:rFonts w:asciiTheme="majorHAnsi" w:eastAsia="Times New Roman" w:hAnsiTheme="majorHAnsi"/>
          <w:sz w:val="24"/>
          <w:szCs w:val="24"/>
        </w:rPr>
        <w:t xml:space="preserve">To comply with reporting dates for the </w:t>
      </w:r>
      <w:r w:rsidR="0053426A">
        <w:rPr>
          <w:rFonts w:asciiTheme="majorHAnsi" w:eastAsia="Times New Roman" w:hAnsiTheme="majorHAnsi"/>
          <w:sz w:val="24"/>
          <w:szCs w:val="24"/>
        </w:rPr>
        <w:t>Program Improvement Plan (</w:t>
      </w:r>
      <w:r w:rsidRPr="009D334A">
        <w:rPr>
          <w:rFonts w:asciiTheme="majorHAnsi" w:eastAsia="Times New Roman" w:hAnsiTheme="majorHAnsi"/>
          <w:sz w:val="24"/>
          <w:szCs w:val="24"/>
        </w:rPr>
        <w:t>PIP</w:t>
      </w:r>
      <w:r w:rsidR="0053426A">
        <w:rPr>
          <w:rFonts w:asciiTheme="majorHAnsi" w:eastAsia="Times New Roman" w:hAnsiTheme="majorHAnsi"/>
          <w:sz w:val="24"/>
          <w:szCs w:val="24"/>
        </w:rPr>
        <w:t>)</w:t>
      </w:r>
      <w:r w:rsidRPr="009D334A">
        <w:rPr>
          <w:rFonts w:asciiTheme="majorHAnsi" w:eastAsia="Times New Roman" w:hAnsiTheme="majorHAnsi"/>
          <w:sz w:val="24"/>
          <w:szCs w:val="24"/>
        </w:rPr>
        <w:t xml:space="preserve"> monitoring period, the annual statewide QSPR review </w:t>
      </w:r>
      <w:r w:rsidR="0053426A">
        <w:rPr>
          <w:rFonts w:asciiTheme="majorHAnsi" w:eastAsia="Times New Roman" w:hAnsiTheme="majorHAnsi"/>
          <w:sz w:val="24"/>
          <w:szCs w:val="24"/>
        </w:rPr>
        <w:t>does</w:t>
      </w:r>
      <w:r w:rsidR="0053426A" w:rsidRPr="009D334A">
        <w:rPr>
          <w:rFonts w:asciiTheme="majorHAnsi" w:eastAsia="Times New Roman" w:hAnsiTheme="majorHAnsi"/>
          <w:sz w:val="24"/>
          <w:szCs w:val="24"/>
        </w:rPr>
        <w:t xml:space="preserve"> </w:t>
      </w:r>
      <w:r w:rsidRPr="009D334A">
        <w:rPr>
          <w:rFonts w:asciiTheme="majorHAnsi" w:eastAsia="Times New Roman" w:hAnsiTheme="majorHAnsi"/>
          <w:sz w:val="24"/>
          <w:szCs w:val="24"/>
        </w:rPr>
        <w:t xml:space="preserve">not align with Arkansas’ fiscal year.  In addition, the cases reviewed were selected from </w:t>
      </w:r>
      <w:r w:rsidR="00A53197">
        <w:rPr>
          <w:rFonts w:asciiTheme="majorHAnsi" w:eastAsia="Times New Roman" w:hAnsiTheme="majorHAnsi"/>
          <w:sz w:val="24"/>
          <w:szCs w:val="24"/>
        </w:rPr>
        <w:t xml:space="preserve">the same </w:t>
      </w:r>
      <w:r w:rsidRPr="009D334A">
        <w:rPr>
          <w:rFonts w:asciiTheme="majorHAnsi" w:eastAsia="Times New Roman" w:hAnsiTheme="majorHAnsi"/>
          <w:sz w:val="24"/>
          <w:szCs w:val="24"/>
        </w:rPr>
        <w:t>three counties per service area as were reviewed for the Round 3 CFSR.  Case reviews will continue to be conducted in the same 30 designated counties for the duration of the PIP monitoring period.</w:t>
      </w:r>
    </w:p>
    <w:p w14:paraId="13BE5A6A" w14:textId="77777777" w:rsidR="00A546FF" w:rsidRPr="009D334A" w:rsidRDefault="00A546FF" w:rsidP="00A546FF">
      <w:pPr>
        <w:spacing w:after="0" w:line="240" w:lineRule="auto"/>
        <w:jc w:val="both"/>
        <w:rPr>
          <w:rFonts w:asciiTheme="majorHAnsi" w:eastAsia="Times New Roman" w:hAnsiTheme="majorHAnsi"/>
          <w:sz w:val="24"/>
          <w:szCs w:val="24"/>
        </w:rPr>
      </w:pPr>
    </w:p>
    <w:p w14:paraId="1899E1D9" w14:textId="2C044E3E" w:rsidR="0041584B" w:rsidRPr="009D334A" w:rsidRDefault="001E5E1D" w:rsidP="0074445B">
      <w:pPr>
        <w:spacing w:after="0" w:line="240" w:lineRule="auto"/>
        <w:jc w:val="both"/>
        <w:rPr>
          <w:rFonts w:asciiTheme="majorHAnsi" w:hAnsiTheme="majorHAnsi"/>
          <w:sz w:val="24"/>
          <w:szCs w:val="24"/>
        </w:rPr>
      </w:pPr>
      <w:r w:rsidRPr="009D334A">
        <w:rPr>
          <w:rFonts w:asciiTheme="majorHAnsi" w:hAnsiTheme="majorHAnsi"/>
          <w:sz w:val="24"/>
          <w:szCs w:val="24"/>
        </w:rPr>
        <w:t>The universe of cases from which the foster care samples w</w:t>
      </w:r>
      <w:r w:rsidR="001D1F25" w:rsidRPr="009D334A">
        <w:rPr>
          <w:rFonts w:asciiTheme="majorHAnsi" w:hAnsiTheme="majorHAnsi"/>
          <w:sz w:val="24"/>
          <w:szCs w:val="24"/>
        </w:rPr>
        <w:t>as</w:t>
      </w:r>
      <w:r w:rsidRPr="009D334A">
        <w:rPr>
          <w:rFonts w:asciiTheme="majorHAnsi" w:hAnsiTheme="majorHAnsi"/>
          <w:sz w:val="24"/>
          <w:szCs w:val="24"/>
        </w:rPr>
        <w:t xml:space="preserve"> selected included all children for whom the agency had placement and care responsibility and who were considered to be in foster care on the basis of </w:t>
      </w:r>
      <w:r w:rsidR="00027D3D">
        <w:rPr>
          <w:rFonts w:asciiTheme="majorHAnsi" w:hAnsiTheme="majorHAnsi"/>
          <w:sz w:val="24"/>
          <w:szCs w:val="24"/>
        </w:rPr>
        <w:t>Adoption and Foster Care Reporting System</w:t>
      </w:r>
      <w:r w:rsidR="00027D3D" w:rsidRPr="009D334A">
        <w:rPr>
          <w:rFonts w:asciiTheme="majorHAnsi" w:hAnsiTheme="majorHAnsi"/>
          <w:sz w:val="24"/>
          <w:szCs w:val="24"/>
        </w:rPr>
        <w:t xml:space="preserve"> </w:t>
      </w:r>
      <w:r w:rsidRPr="009D334A">
        <w:rPr>
          <w:rFonts w:asciiTheme="majorHAnsi" w:hAnsiTheme="majorHAnsi"/>
          <w:sz w:val="24"/>
          <w:szCs w:val="24"/>
        </w:rPr>
        <w:t>reporting requirements for at least 24 hours during the sampling period.  The sampling frame for the in-home services cases</w:t>
      </w:r>
      <w:r w:rsidR="001D1F25" w:rsidRPr="009D334A">
        <w:rPr>
          <w:rFonts w:asciiTheme="majorHAnsi" w:hAnsiTheme="majorHAnsi"/>
          <w:sz w:val="24"/>
          <w:szCs w:val="24"/>
        </w:rPr>
        <w:t>, which included Protective Services cases and Differential Response referrals,</w:t>
      </w:r>
      <w:r w:rsidRPr="009D334A">
        <w:rPr>
          <w:rFonts w:asciiTheme="majorHAnsi" w:hAnsiTheme="majorHAnsi"/>
          <w:sz w:val="24"/>
          <w:szCs w:val="24"/>
        </w:rPr>
        <w:t xml:space="preserve"> encompassed all cases opened for service for at least 45 consecutive days during the sampling period and in which no children in the family were in foster care for 24 hours or longer during any portion of the review period.  </w:t>
      </w:r>
    </w:p>
    <w:p w14:paraId="7AD6141A" w14:textId="77777777" w:rsidR="0041584B" w:rsidRPr="009D334A" w:rsidRDefault="0041584B" w:rsidP="0074445B">
      <w:pPr>
        <w:spacing w:after="0" w:line="240" w:lineRule="auto"/>
        <w:jc w:val="both"/>
        <w:rPr>
          <w:rFonts w:asciiTheme="majorHAnsi" w:hAnsiTheme="majorHAnsi"/>
          <w:sz w:val="24"/>
          <w:szCs w:val="24"/>
        </w:rPr>
      </w:pPr>
    </w:p>
    <w:p w14:paraId="116E9A6C" w14:textId="416A0F28" w:rsidR="001E5E1D" w:rsidRPr="009D334A" w:rsidRDefault="001E5E1D" w:rsidP="001E5E1D">
      <w:pPr>
        <w:spacing w:after="0" w:line="240" w:lineRule="auto"/>
        <w:jc w:val="both"/>
        <w:rPr>
          <w:rFonts w:asciiTheme="majorHAnsi" w:hAnsiTheme="majorHAnsi"/>
          <w:sz w:val="24"/>
          <w:szCs w:val="24"/>
        </w:rPr>
      </w:pPr>
      <w:r w:rsidRPr="009D334A">
        <w:rPr>
          <w:rFonts w:asciiTheme="majorHAnsi" w:hAnsiTheme="majorHAnsi"/>
          <w:sz w:val="24"/>
          <w:szCs w:val="24"/>
        </w:rPr>
        <w:t xml:space="preserve">This report combines the results of the </w:t>
      </w:r>
      <w:r w:rsidR="007110A1">
        <w:rPr>
          <w:rFonts w:asciiTheme="majorHAnsi" w:hAnsiTheme="majorHAnsi"/>
          <w:sz w:val="24"/>
          <w:szCs w:val="24"/>
        </w:rPr>
        <w:t xml:space="preserve">individual </w:t>
      </w:r>
      <w:r w:rsidRPr="009D334A">
        <w:rPr>
          <w:rFonts w:asciiTheme="majorHAnsi" w:hAnsiTheme="majorHAnsi"/>
          <w:sz w:val="24"/>
          <w:szCs w:val="24"/>
        </w:rPr>
        <w:t xml:space="preserve">service areas’ QSPRs, providing an overall summary of the Division’s performance pertaining to the goals of safety, permanency and well-being for children receiving services.  </w:t>
      </w:r>
      <w:r w:rsidR="00A546FF" w:rsidRPr="009D334A">
        <w:rPr>
          <w:rFonts w:asciiTheme="majorHAnsi" w:hAnsiTheme="majorHAnsi"/>
          <w:sz w:val="24"/>
          <w:szCs w:val="24"/>
        </w:rPr>
        <w:t xml:space="preserve">The </w:t>
      </w:r>
      <w:r w:rsidRPr="009D334A">
        <w:rPr>
          <w:rFonts w:asciiTheme="majorHAnsi" w:hAnsiTheme="majorHAnsi"/>
          <w:sz w:val="24"/>
          <w:szCs w:val="24"/>
        </w:rPr>
        <w:t>statewide scores for SFY 201</w:t>
      </w:r>
      <w:r w:rsidR="00A53197">
        <w:rPr>
          <w:rFonts w:asciiTheme="majorHAnsi" w:hAnsiTheme="majorHAnsi"/>
          <w:sz w:val="24"/>
          <w:szCs w:val="24"/>
        </w:rPr>
        <w:t>9</w:t>
      </w:r>
      <w:r w:rsidRPr="009D334A">
        <w:rPr>
          <w:rFonts w:asciiTheme="majorHAnsi" w:hAnsiTheme="majorHAnsi"/>
          <w:sz w:val="24"/>
          <w:szCs w:val="24"/>
        </w:rPr>
        <w:t xml:space="preserve"> are straight averages of the combined scores from the ten service areas in accordance with the approved federal sampling methodology.</w:t>
      </w:r>
    </w:p>
    <w:p w14:paraId="4CE66872" w14:textId="77777777" w:rsidR="0074445B" w:rsidRPr="00DC0AE7" w:rsidRDefault="0074445B" w:rsidP="0074445B">
      <w:pPr>
        <w:spacing w:after="0" w:line="240" w:lineRule="auto"/>
        <w:jc w:val="both"/>
        <w:rPr>
          <w:rFonts w:ascii="Cambria" w:hAnsi="Cambria"/>
          <w:sz w:val="24"/>
          <w:szCs w:val="24"/>
        </w:rPr>
      </w:pPr>
    </w:p>
    <w:p w14:paraId="3E41C94D" w14:textId="0CA9DEB1" w:rsidR="007C207C" w:rsidRPr="00DC0AE7" w:rsidRDefault="003D5C8D" w:rsidP="0074445B">
      <w:pPr>
        <w:spacing w:after="0" w:line="240" w:lineRule="auto"/>
        <w:jc w:val="both"/>
        <w:rPr>
          <w:rFonts w:ascii="Cambria" w:hAnsi="Cambria"/>
          <w:sz w:val="24"/>
          <w:szCs w:val="24"/>
        </w:rPr>
      </w:pPr>
      <w:r w:rsidRPr="003D5C8D">
        <w:rPr>
          <w:rFonts w:ascii="Cambria" w:hAnsi="Cambria"/>
          <w:sz w:val="24"/>
          <w:szCs w:val="24"/>
        </w:rPr>
        <w:t>As previously stated, the QSPR assesses individual service area and statewide performance with regard to substantial conformity with seven child and family outcomes.  Each outcome incorporates one or more of the 18 items included in the OSRI, and each item is rated as a Strength or Area Needing Improvement based on an evaluation of certain child welfare practices and processes in the reviewed cases.  An item is assigned an overall rating of Strength if 90 percent</w:t>
      </w:r>
      <w:r>
        <w:rPr>
          <w:rStyle w:val="FootnoteReference"/>
          <w:rFonts w:ascii="Cambria" w:hAnsi="Cambria"/>
          <w:sz w:val="24"/>
          <w:szCs w:val="24"/>
        </w:rPr>
        <w:footnoteReference w:id="1"/>
      </w:r>
      <w:r w:rsidRPr="003D5C8D">
        <w:rPr>
          <w:rFonts w:ascii="Cambria" w:hAnsi="Cambria"/>
          <w:sz w:val="24"/>
          <w:szCs w:val="24"/>
        </w:rPr>
        <w:t xml:space="preserve"> or more of the applicable cases were rated as a Strength.  To be in substantial conformity with a particular outcome, 95 percent or more of the cases reviewed must be rated as having substantially achieved the outcome.  Substantial achievement for individual cases is based on the ratings of the individual items within each outcome. The requirements for substantial achievement vary by outcome but generally require that all applicable items be rated as Strengths.</w:t>
      </w:r>
    </w:p>
    <w:p w14:paraId="7CD46F1A" w14:textId="77777777" w:rsidR="0074445B" w:rsidRPr="00DC0AE7" w:rsidRDefault="0074445B" w:rsidP="0074445B">
      <w:pPr>
        <w:spacing w:after="0" w:line="240" w:lineRule="auto"/>
        <w:jc w:val="both"/>
        <w:rPr>
          <w:rFonts w:ascii="Cambria" w:hAnsi="Cambria"/>
          <w:sz w:val="24"/>
          <w:szCs w:val="24"/>
        </w:rPr>
      </w:pPr>
    </w:p>
    <w:p w14:paraId="7CB73A5E" w14:textId="2A90AC4F" w:rsidR="00F85AF1" w:rsidRDefault="00F85AF1" w:rsidP="0074445B">
      <w:pPr>
        <w:spacing w:after="0" w:line="240" w:lineRule="auto"/>
        <w:jc w:val="both"/>
        <w:rPr>
          <w:rFonts w:ascii="Cambria" w:hAnsi="Cambria"/>
          <w:sz w:val="24"/>
          <w:szCs w:val="24"/>
        </w:rPr>
      </w:pPr>
      <w:r w:rsidRPr="00DC0AE7">
        <w:rPr>
          <w:rFonts w:ascii="Cambria" w:hAnsi="Cambria"/>
          <w:sz w:val="24"/>
          <w:szCs w:val="24"/>
        </w:rPr>
        <w:t xml:space="preserve">The discussion in this report focuses on the most prominent and significant strengths and areas needing improvement </w:t>
      </w:r>
      <w:r w:rsidR="00551B5B" w:rsidRPr="00DC0AE7">
        <w:rPr>
          <w:rFonts w:ascii="Cambria" w:hAnsi="Cambria"/>
          <w:sz w:val="24"/>
          <w:szCs w:val="24"/>
        </w:rPr>
        <w:t>identified</w:t>
      </w:r>
      <w:r w:rsidRPr="00DC0AE7">
        <w:rPr>
          <w:rFonts w:ascii="Cambria" w:hAnsi="Cambria"/>
          <w:sz w:val="24"/>
          <w:szCs w:val="24"/>
        </w:rPr>
        <w:t xml:space="preserve"> during the </w:t>
      </w:r>
      <w:r w:rsidR="002B33D7">
        <w:rPr>
          <w:rFonts w:ascii="Cambria" w:hAnsi="Cambria"/>
          <w:sz w:val="24"/>
          <w:szCs w:val="24"/>
        </w:rPr>
        <w:t>SFY 201</w:t>
      </w:r>
      <w:r w:rsidR="00A53197">
        <w:rPr>
          <w:rFonts w:ascii="Cambria" w:hAnsi="Cambria"/>
          <w:sz w:val="24"/>
          <w:szCs w:val="24"/>
        </w:rPr>
        <w:t>9</w:t>
      </w:r>
      <w:r w:rsidR="002B33D7">
        <w:rPr>
          <w:rFonts w:ascii="Cambria" w:hAnsi="Cambria"/>
          <w:sz w:val="24"/>
          <w:szCs w:val="24"/>
        </w:rPr>
        <w:t xml:space="preserve"> </w:t>
      </w:r>
      <w:r w:rsidRPr="00DC0AE7">
        <w:rPr>
          <w:rFonts w:ascii="Cambria" w:hAnsi="Cambria"/>
          <w:sz w:val="24"/>
          <w:szCs w:val="24"/>
        </w:rPr>
        <w:t xml:space="preserve">reviews.  </w:t>
      </w:r>
      <w:r w:rsidR="001D1F25">
        <w:rPr>
          <w:rFonts w:ascii="Cambria" w:hAnsi="Cambria"/>
          <w:sz w:val="24"/>
          <w:szCs w:val="24"/>
        </w:rPr>
        <w:t>S</w:t>
      </w:r>
      <w:r w:rsidRPr="00DC0AE7">
        <w:rPr>
          <w:rFonts w:ascii="Cambria" w:hAnsi="Cambria"/>
          <w:sz w:val="24"/>
          <w:szCs w:val="24"/>
        </w:rPr>
        <w:t xml:space="preserve">tatewide scores for all items covered in the reviews are </w:t>
      </w:r>
      <w:r w:rsidRPr="00980B47">
        <w:rPr>
          <w:rFonts w:ascii="Cambria" w:hAnsi="Cambria"/>
          <w:sz w:val="24"/>
          <w:szCs w:val="24"/>
        </w:rPr>
        <w:t>presented within each of the safety, permanency and well</w:t>
      </w:r>
      <w:r w:rsidR="00E32D4B" w:rsidRPr="00980B47">
        <w:rPr>
          <w:rFonts w:ascii="Cambria" w:hAnsi="Cambria"/>
          <w:sz w:val="24"/>
          <w:szCs w:val="24"/>
        </w:rPr>
        <w:t>-</w:t>
      </w:r>
      <w:r w:rsidRPr="00980B47">
        <w:rPr>
          <w:rFonts w:ascii="Cambria" w:hAnsi="Cambria"/>
          <w:sz w:val="24"/>
          <w:szCs w:val="24"/>
        </w:rPr>
        <w:t xml:space="preserve">being sections </w:t>
      </w:r>
      <w:r w:rsidR="00A4033F" w:rsidRPr="00980B47">
        <w:rPr>
          <w:rFonts w:ascii="Cambria" w:hAnsi="Cambria"/>
          <w:sz w:val="24"/>
          <w:szCs w:val="24"/>
        </w:rPr>
        <w:t>and in the Appendix</w:t>
      </w:r>
      <w:r w:rsidR="004F71BC" w:rsidRPr="00980B47">
        <w:rPr>
          <w:rFonts w:ascii="Cambria" w:hAnsi="Cambria"/>
          <w:sz w:val="24"/>
          <w:szCs w:val="24"/>
        </w:rPr>
        <w:t xml:space="preserve">.  </w:t>
      </w:r>
      <w:r w:rsidR="00A546FF">
        <w:rPr>
          <w:rFonts w:ascii="Cambria" w:hAnsi="Cambria"/>
          <w:sz w:val="24"/>
          <w:szCs w:val="24"/>
        </w:rPr>
        <w:t>C</w:t>
      </w:r>
      <w:r w:rsidR="004F71BC" w:rsidRPr="00980B47">
        <w:rPr>
          <w:rFonts w:ascii="Cambria" w:hAnsi="Cambria"/>
          <w:sz w:val="24"/>
          <w:szCs w:val="24"/>
        </w:rPr>
        <w:t xml:space="preserve">omparisons are available for the </w:t>
      </w:r>
      <w:r w:rsidR="00A546FF">
        <w:rPr>
          <w:rFonts w:ascii="Cambria" w:hAnsi="Cambria"/>
          <w:sz w:val="24"/>
          <w:szCs w:val="24"/>
        </w:rPr>
        <w:t xml:space="preserve">Round 3 CFSR and the </w:t>
      </w:r>
      <w:r w:rsidR="004F71BC" w:rsidRPr="00980B47">
        <w:rPr>
          <w:rFonts w:ascii="Cambria" w:hAnsi="Cambria"/>
          <w:sz w:val="24"/>
          <w:szCs w:val="24"/>
        </w:rPr>
        <w:t xml:space="preserve">SFY </w:t>
      </w:r>
      <w:r w:rsidR="00980B47" w:rsidRPr="00980B47">
        <w:rPr>
          <w:rFonts w:ascii="Cambria" w:hAnsi="Cambria"/>
          <w:sz w:val="24"/>
          <w:szCs w:val="24"/>
        </w:rPr>
        <w:t>201</w:t>
      </w:r>
      <w:r w:rsidR="00A53197">
        <w:rPr>
          <w:rFonts w:ascii="Cambria" w:hAnsi="Cambria"/>
          <w:sz w:val="24"/>
          <w:szCs w:val="24"/>
        </w:rPr>
        <w:t>8</w:t>
      </w:r>
      <w:r w:rsidR="00A546FF">
        <w:rPr>
          <w:rFonts w:ascii="Cambria" w:hAnsi="Cambria"/>
          <w:sz w:val="24"/>
          <w:szCs w:val="24"/>
        </w:rPr>
        <w:t xml:space="preserve"> QSPR</w:t>
      </w:r>
      <w:r w:rsidR="00980B47" w:rsidRPr="00980B47">
        <w:rPr>
          <w:rFonts w:ascii="Cambria" w:hAnsi="Cambria"/>
          <w:sz w:val="24"/>
          <w:szCs w:val="24"/>
        </w:rPr>
        <w:t>.  They</w:t>
      </w:r>
      <w:r w:rsidR="004F71BC" w:rsidRPr="00980B47">
        <w:rPr>
          <w:rFonts w:ascii="Cambria" w:hAnsi="Cambria"/>
          <w:sz w:val="24"/>
          <w:szCs w:val="24"/>
        </w:rPr>
        <w:t xml:space="preserve"> are presented in Table </w:t>
      </w:r>
      <w:r w:rsidR="0071156E">
        <w:rPr>
          <w:rFonts w:ascii="Cambria" w:hAnsi="Cambria"/>
          <w:sz w:val="24"/>
          <w:szCs w:val="24"/>
        </w:rPr>
        <w:t xml:space="preserve">5 </w:t>
      </w:r>
      <w:r w:rsidR="004F71BC" w:rsidRPr="00980B47">
        <w:rPr>
          <w:rFonts w:ascii="Cambria" w:hAnsi="Cambria"/>
          <w:sz w:val="24"/>
          <w:szCs w:val="24"/>
        </w:rPr>
        <w:t>in the Appendix.</w:t>
      </w:r>
    </w:p>
    <w:p w14:paraId="530DE7A5" w14:textId="77777777" w:rsidR="00272007" w:rsidRDefault="00272007" w:rsidP="009561A2">
      <w:pPr>
        <w:tabs>
          <w:tab w:val="left" w:pos="0"/>
        </w:tabs>
        <w:spacing w:after="0" w:line="240" w:lineRule="auto"/>
        <w:jc w:val="both"/>
        <w:rPr>
          <w:rFonts w:ascii="Cambria" w:hAnsi="Cambria"/>
          <w:sz w:val="24"/>
          <w:szCs w:val="24"/>
        </w:rPr>
      </w:pPr>
    </w:p>
    <w:p w14:paraId="71D3B3BC" w14:textId="77777777" w:rsidR="00272007" w:rsidRPr="004F71BC" w:rsidRDefault="00272007" w:rsidP="0074445B">
      <w:pPr>
        <w:spacing w:after="0" w:line="240" w:lineRule="auto"/>
        <w:jc w:val="both"/>
        <w:rPr>
          <w:rFonts w:ascii="Cambria" w:hAnsi="Cambria"/>
          <w:sz w:val="24"/>
          <w:szCs w:val="24"/>
        </w:rPr>
      </w:pPr>
    </w:p>
    <w:p w14:paraId="1C472728" w14:textId="77777777" w:rsidR="0074445B" w:rsidRPr="00C5229E" w:rsidRDefault="00E61B68" w:rsidP="0074445B">
      <w:pPr>
        <w:pBdr>
          <w:bottom w:val="single" w:sz="12" w:space="0" w:color="auto"/>
        </w:pBdr>
        <w:tabs>
          <w:tab w:val="left" w:pos="2010"/>
        </w:tabs>
        <w:spacing w:after="0" w:line="240" w:lineRule="auto"/>
        <w:rPr>
          <w:rFonts w:asciiTheme="majorHAnsi" w:hAnsiTheme="majorHAnsi"/>
          <w:b/>
          <w:smallCaps/>
          <w:sz w:val="24"/>
          <w:szCs w:val="24"/>
        </w:rPr>
      </w:pPr>
      <w:r>
        <w:rPr>
          <w:rFonts w:asciiTheme="majorHAnsi" w:hAnsiTheme="majorHAnsi"/>
          <w:b/>
          <w:smallCaps/>
          <w:sz w:val="24"/>
          <w:szCs w:val="24"/>
        </w:rPr>
        <w:br w:type="page"/>
      </w:r>
    </w:p>
    <w:p w14:paraId="5703C832" w14:textId="77777777" w:rsidR="00D46594" w:rsidRPr="00BB54D6" w:rsidRDefault="00D46594" w:rsidP="00D46594">
      <w:pPr>
        <w:pBdr>
          <w:bottom w:val="single" w:sz="12" w:space="0" w:color="auto"/>
        </w:pBdr>
        <w:tabs>
          <w:tab w:val="left" w:pos="2010"/>
        </w:tabs>
        <w:spacing w:after="0" w:line="240" w:lineRule="auto"/>
        <w:rPr>
          <w:rFonts w:ascii="Cambria" w:hAnsi="Cambria"/>
          <w:b/>
          <w:smallCaps/>
          <w:sz w:val="28"/>
          <w:szCs w:val="28"/>
        </w:rPr>
      </w:pPr>
      <w:r w:rsidRPr="00BB54D6">
        <w:rPr>
          <w:rFonts w:ascii="Cambria" w:hAnsi="Cambria"/>
          <w:b/>
          <w:smallCaps/>
          <w:sz w:val="28"/>
          <w:szCs w:val="28"/>
        </w:rPr>
        <w:t>Safety</w:t>
      </w:r>
      <w:r w:rsidRPr="00BB54D6">
        <w:rPr>
          <w:rFonts w:ascii="Cambria" w:hAnsi="Cambria"/>
          <w:b/>
          <w:smallCaps/>
          <w:sz w:val="28"/>
          <w:szCs w:val="28"/>
        </w:rPr>
        <w:tab/>
      </w:r>
    </w:p>
    <w:p w14:paraId="4723F7E9" w14:textId="77777777" w:rsidR="00D46594" w:rsidRPr="00BB54D6" w:rsidRDefault="00D46594" w:rsidP="00D46594">
      <w:pPr>
        <w:spacing w:after="0" w:line="240" w:lineRule="auto"/>
        <w:jc w:val="both"/>
        <w:rPr>
          <w:rFonts w:ascii="Cambria" w:hAnsi="Cambria"/>
          <w:sz w:val="24"/>
          <w:szCs w:val="24"/>
          <w:highlight w:val="lightGray"/>
        </w:rPr>
      </w:pPr>
    </w:p>
    <w:p w14:paraId="49EA8601" w14:textId="77777777" w:rsidR="00D46594" w:rsidRPr="00BB54D6" w:rsidRDefault="00D46594" w:rsidP="00D46594">
      <w:pPr>
        <w:spacing w:after="0" w:line="240" w:lineRule="auto"/>
        <w:jc w:val="both"/>
        <w:rPr>
          <w:rFonts w:ascii="Cambria" w:hAnsi="Cambria"/>
          <w:sz w:val="24"/>
          <w:szCs w:val="24"/>
        </w:rPr>
      </w:pPr>
      <w:r w:rsidRPr="00BB54D6">
        <w:rPr>
          <w:rFonts w:ascii="Cambria" w:hAnsi="Cambria"/>
          <w:sz w:val="24"/>
          <w:szCs w:val="24"/>
        </w:rPr>
        <w:t xml:space="preserve">Ensuring the safety of children and protecting them from maltreatment is the paramount responsibility of the child welfare system.  DCFS must address initial safety concerns at the onset of the Division’s involvement with families and then assess and address risk and safety concerns throughout the life of the case; the OSRI assesses safety-related practices accordingly. The tool evaluates the timeliness within which child maltreatment investigations are initiated, the provision of services to safely maintain children in the family home and the efforts to assess risk and safety and mitigate identified concerns.   As noted earlier, each item is rated with an overall rating of Strength if 90 percent or more of the applicable cases were rated as a Strength.  Any measure that does not reach 90 percent will not be deemed a strength in practice.  </w:t>
      </w:r>
    </w:p>
    <w:p w14:paraId="45239E78" w14:textId="77777777" w:rsidR="00D46594" w:rsidRPr="00BB54D6" w:rsidRDefault="00D46594" w:rsidP="00D46594">
      <w:pPr>
        <w:spacing w:after="0" w:line="240" w:lineRule="auto"/>
        <w:jc w:val="both"/>
        <w:rPr>
          <w:rFonts w:ascii="Cambria" w:hAnsi="Cambria"/>
          <w:sz w:val="24"/>
          <w:szCs w:val="24"/>
        </w:rPr>
      </w:pPr>
    </w:p>
    <w:p w14:paraId="02832DBA" w14:textId="0C7280E2" w:rsidR="00D46594" w:rsidRPr="00BB54D6" w:rsidRDefault="00D46594" w:rsidP="00D46594">
      <w:pPr>
        <w:spacing w:after="0" w:line="240" w:lineRule="auto"/>
        <w:jc w:val="both"/>
        <w:rPr>
          <w:rFonts w:ascii="Cambria" w:hAnsi="Cambria"/>
          <w:sz w:val="24"/>
          <w:szCs w:val="24"/>
        </w:rPr>
      </w:pPr>
      <w:r w:rsidRPr="00BB54D6">
        <w:rPr>
          <w:rFonts w:ascii="Cambria" w:hAnsi="Cambria"/>
          <w:sz w:val="24"/>
          <w:szCs w:val="24"/>
        </w:rPr>
        <w:t>The SFY 2019 QSPR revealed that</w:t>
      </w:r>
      <w:r>
        <w:rPr>
          <w:rFonts w:ascii="Cambria" w:hAnsi="Cambria"/>
          <w:sz w:val="24"/>
          <w:szCs w:val="24"/>
        </w:rPr>
        <w:t>, statewide,</w:t>
      </w:r>
      <w:r w:rsidRPr="00BB54D6">
        <w:rPr>
          <w:rFonts w:ascii="Cambria" w:hAnsi="Cambria"/>
          <w:sz w:val="24"/>
          <w:szCs w:val="24"/>
        </w:rPr>
        <w:t xml:space="preserve"> the Agency’s performance has improved markedly for all safety related items</w:t>
      </w:r>
      <w:r w:rsidR="00A64A14">
        <w:rPr>
          <w:rFonts w:ascii="Cambria" w:hAnsi="Cambria"/>
          <w:sz w:val="24"/>
          <w:szCs w:val="24"/>
        </w:rPr>
        <w:t>, compared to</w:t>
      </w:r>
      <w:r w:rsidR="0023761E">
        <w:rPr>
          <w:rFonts w:ascii="Cambria" w:hAnsi="Cambria"/>
          <w:sz w:val="24"/>
          <w:szCs w:val="24"/>
        </w:rPr>
        <w:t xml:space="preserve"> the </w:t>
      </w:r>
      <w:r w:rsidR="009F3435">
        <w:rPr>
          <w:rFonts w:ascii="Cambria" w:hAnsi="Cambria"/>
          <w:sz w:val="24"/>
          <w:szCs w:val="24"/>
        </w:rPr>
        <w:t xml:space="preserve">results from the </w:t>
      </w:r>
      <w:r w:rsidR="0023761E">
        <w:rPr>
          <w:rFonts w:ascii="Cambria" w:hAnsi="Cambria"/>
          <w:sz w:val="24"/>
          <w:szCs w:val="24"/>
        </w:rPr>
        <w:t>SFY 2018 QSPR</w:t>
      </w:r>
      <w:r w:rsidR="00901772">
        <w:rPr>
          <w:rFonts w:ascii="Cambria" w:hAnsi="Cambria"/>
          <w:sz w:val="24"/>
          <w:szCs w:val="24"/>
        </w:rPr>
        <w:t xml:space="preserve"> and </w:t>
      </w:r>
      <w:r w:rsidR="00B47006">
        <w:rPr>
          <w:rFonts w:ascii="Cambria" w:hAnsi="Cambria"/>
          <w:sz w:val="24"/>
          <w:szCs w:val="24"/>
        </w:rPr>
        <w:t xml:space="preserve">from </w:t>
      </w:r>
      <w:r w:rsidR="00901772">
        <w:rPr>
          <w:rFonts w:ascii="Cambria" w:hAnsi="Cambria"/>
          <w:sz w:val="24"/>
          <w:szCs w:val="24"/>
        </w:rPr>
        <w:t xml:space="preserve">Round 3 </w:t>
      </w:r>
      <w:r w:rsidR="009F3435">
        <w:rPr>
          <w:rFonts w:ascii="Cambria" w:hAnsi="Cambria"/>
          <w:sz w:val="24"/>
          <w:szCs w:val="24"/>
        </w:rPr>
        <w:t xml:space="preserve">of the </w:t>
      </w:r>
      <w:r w:rsidR="00901772">
        <w:rPr>
          <w:rFonts w:ascii="Cambria" w:hAnsi="Cambria"/>
          <w:sz w:val="24"/>
          <w:szCs w:val="24"/>
        </w:rPr>
        <w:t>CFSR.</w:t>
      </w:r>
      <w:r w:rsidRPr="00BB54D6">
        <w:rPr>
          <w:rFonts w:ascii="Cambria" w:hAnsi="Cambria"/>
          <w:sz w:val="24"/>
          <w:szCs w:val="24"/>
        </w:rPr>
        <w:t xml:space="preserve"> </w:t>
      </w:r>
      <w:r w:rsidR="009F3435">
        <w:rPr>
          <w:rFonts w:ascii="Cambria" w:hAnsi="Cambria"/>
          <w:sz w:val="24"/>
          <w:szCs w:val="24"/>
        </w:rPr>
        <w:t>The extent to which c</w:t>
      </w:r>
      <w:r w:rsidR="00F16D0F">
        <w:rPr>
          <w:rFonts w:ascii="Cambria" w:hAnsi="Cambria"/>
          <w:sz w:val="24"/>
          <w:szCs w:val="24"/>
        </w:rPr>
        <w:t>hildren are, first and foremost, protected from abuse and neglect</w:t>
      </w:r>
      <w:r w:rsidR="00E567DC">
        <w:rPr>
          <w:rFonts w:ascii="Cambria" w:hAnsi="Cambria"/>
          <w:sz w:val="24"/>
          <w:szCs w:val="24"/>
        </w:rPr>
        <w:t xml:space="preserve"> (Safety Outcome 1)</w:t>
      </w:r>
      <w:r w:rsidRPr="00BB54D6">
        <w:rPr>
          <w:rFonts w:ascii="Cambria" w:hAnsi="Cambria"/>
          <w:sz w:val="24"/>
          <w:szCs w:val="24"/>
        </w:rPr>
        <w:t xml:space="preserve"> and </w:t>
      </w:r>
      <w:r w:rsidR="00F16D0F">
        <w:rPr>
          <w:rFonts w:ascii="Cambria" w:hAnsi="Cambria"/>
          <w:sz w:val="24"/>
          <w:szCs w:val="24"/>
        </w:rPr>
        <w:t>childre</w:t>
      </w:r>
      <w:r w:rsidR="00027CAA">
        <w:rPr>
          <w:rFonts w:ascii="Cambria" w:hAnsi="Cambria"/>
          <w:sz w:val="24"/>
          <w:szCs w:val="24"/>
        </w:rPr>
        <w:t xml:space="preserve">n are safely maintained in their homes whenever possible </w:t>
      </w:r>
      <w:r w:rsidR="001E7EA8">
        <w:rPr>
          <w:rFonts w:ascii="Cambria" w:hAnsi="Cambria"/>
          <w:sz w:val="24"/>
          <w:szCs w:val="24"/>
        </w:rPr>
        <w:t>and appropriate</w:t>
      </w:r>
      <w:r w:rsidR="00E567DC">
        <w:rPr>
          <w:rFonts w:ascii="Cambria" w:hAnsi="Cambria"/>
          <w:sz w:val="24"/>
          <w:szCs w:val="24"/>
        </w:rPr>
        <w:t xml:space="preserve"> (Safety Outcome 2)</w:t>
      </w:r>
      <w:r w:rsidRPr="00BB54D6">
        <w:rPr>
          <w:rFonts w:ascii="Cambria" w:hAnsi="Cambria"/>
          <w:sz w:val="24"/>
          <w:szCs w:val="24"/>
        </w:rPr>
        <w:t xml:space="preserve"> improved </w:t>
      </w:r>
      <w:r>
        <w:rPr>
          <w:rFonts w:ascii="Cambria" w:hAnsi="Cambria"/>
          <w:sz w:val="24"/>
          <w:szCs w:val="24"/>
        </w:rPr>
        <w:t xml:space="preserve">by </w:t>
      </w:r>
      <w:r w:rsidRPr="00BB54D6">
        <w:rPr>
          <w:rFonts w:ascii="Cambria" w:hAnsi="Cambria"/>
          <w:sz w:val="24"/>
          <w:szCs w:val="24"/>
        </w:rPr>
        <w:t>11 and 13 percentage points, respectively</w:t>
      </w:r>
      <w:r w:rsidR="009F3435">
        <w:rPr>
          <w:rFonts w:ascii="Cambria" w:hAnsi="Cambria"/>
          <w:sz w:val="24"/>
          <w:szCs w:val="24"/>
        </w:rPr>
        <w:t>, from that of last year’s quality service reviews</w:t>
      </w:r>
      <w:r w:rsidRPr="00BB54D6">
        <w:rPr>
          <w:rFonts w:ascii="Cambria" w:hAnsi="Cambria"/>
          <w:sz w:val="24"/>
          <w:szCs w:val="24"/>
        </w:rPr>
        <w:t xml:space="preserve">. There was also noticeable improvement over the results from Round 3 of the CFSR. </w:t>
      </w:r>
      <w:r w:rsidR="009F3435">
        <w:rPr>
          <w:rFonts w:ascii="Cambria" w:hAnsi="Cambria"/>
          <w:sz w:val="24"/>
          <w:szCs w:val="24"/>
        </w:rPr>
        <w:t>Despite the continued improvement</w:t>
      </w:r>
      <w:r w:rsidRPr="00BB54D6">
        <w:rPr>
          <w:rFonts w:ascii="Cambria" w:hAnsi="Cambria"/>
          <w:sz w:val="24"/>
          <w:szCs w:val="24"/>
        </w:rPr>
        <w:t xml:space="preserve">, all safety items, with the exception of </w:t>
      </w:r>
      <w:r w:rsidR="00F011A9">
        <w:rPr>
          <w:rFonts w:ascii="Cambria" w:hAnsi="Cambria"/>
          <w:sz w:val="24"/>
          <w:szCs w:val="24"/>
        </w:rPr>
        <w:t xml:space="preserve">the </w:t>
      </w:r>
      <w:r w:rsidRPr="00BB54D6">
        <w:rPr>
          <w:rFonts w:ascii="Cambria" w:hAnsi="Cambria"/>
          <w:sz w:val="24"/>
          <w:szCs w:val="24"/>
        </w:rPr>
        <w:t xml:space="preserve">Services to Prevent Removal </w:t>
      </w:r>
      <w:r w:rsidR="00D75D47">
        <w:rPr>
          <w:rFonts w:ascii="Cambria" w:hAnsi="Cambria"/>
          <w:sz w:val="24"/>
          <w:szCs w:val="24"/>
        </w:rPr>
        <w:t>item</w:t>
      </w:r>
      <w:r w:rsidR="00F011A9">
        <w:rPr>
          <w:rFonts w:ascii="Cambria" w:hAnsi="Cambria"/>
          <w:sz w:val="24"/>
          <w:szCs w:val="24"/>
        </w:rPr>
        <w:t xml:space="preserve"> </w:t>
      </w:r>
      <w:r w:rsidRPr="00BB54D6">
        <w:rPr>
          <w:rFonts w:ascii="Cambria" w:hAnsi="Cambria"/>
          <w:sz w:val="24"/>
          <w:szCs w:val="24"/>
        </w:rPr>
        <w:t>(94%)</w:t>
      </w:r>
      <w:r w:rsidR="009F3435">
        <w:rPr>
          <w:rFonts w:ascii="Cambria" w:hAnsi="Cambria"/>
          <w:sz w:val="24"/>
          <w:szCs w:val="24"/>
        </w:rPr>
        <w:t>,</w:t>
      </w:r>
      <w:r w:rsidRPr="00BB54D6">
        <w:rPr>
          <w:rFonts w:ascii="Cambria" w:hAnsi="Cambria"/>
          <w:sz w:val="24"/>
          <w:szCs w:val="24"/>
        </w:rPr>
        <w:t xml:space="preserve"> are rated as Areas Needing Improvement.</w:t>
      </w:r>
    </w:p>
    <w:p w14:paraId="7D7DDAA9" w14:textId="77777777" w:rsidR="00D46594" w:rsidRPr="00BB54D6" w:rsidRDefault="00D46594" w:rsidP="00D46594">
      <w:pPr>
        <w:spacing w:after="0" w:line="240" w:lineRule="auto"/>
        <w:jc w:val="both"/>
        <w:rPr>
          <w:rFonts w:ascii="Cambria" w:hAnsi="Cambria"/>
          <w:sz w:val="24"/>
          <w:szCs w:val="24"/>
        </w:rPr>
      </w:pPr>
    </w:p>
    <w:p w14:paraId="603A7809" w14:textId="77777777" w:rsidR="00D46594" w:rsidRPr="00BB54D6" w:rsidRDefault="00D46594" w:rsidP="00D46594">
      <w:pPr>
        <w:spacing w:after="0" w:line="240" w:lineRule="auto"/>
        <w:jc w:val="both"/>
        <w:rPr>
          <w:rFonts w:ascii="Cambria" w:hAnsi="Cambria"/>
          <w:sz w:val="24"/>
          <w:szCs w:val="24"/>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100"/>
        <w:gridCol w:w="885"/>
        <w:gridCol w:w="900"/>
        <w:gridCol w:w="915"/>
      </w:tblGrid>
      <w:tr w:rsidR="00D46594" w:rsidRPr="00BB54D6" w14:paraId="4E3CE0F6" w14:textId="77777777" w:rsidTr="00027D3D">
        <w:trPr>
          <w:trHeight w:val="315"/>
          <w:jc w:val="center"/>
        </w:trPr>
        <w:tc>
          <w:tcPr>
            <w:tcW w:w="9800" w:type="dxa"/>
            <w:gridSpan w:val="4"/>
            <w:shd w:val="clear" w:color="000000" w:fill="215967"/>
            <w:noWrap/>
            <w:vAlign w:val="center"/>
            <w:hideMark/>
          </w:tcPr>
          <w:p w14:paraId="3E1BDEBD" w14:textId="77777777" w:rsidR="00D46594" w:rsidRPr="00BB54D6" w:rsidRDefault="00D46594" w:rsidP="00027D3D">
            <w:pPr>
              <w:spacing w:after="0" w:line="240" w:lineRule="auto"/>
              <w:jc w:val="center"/>
              <w:rPr>
                <w:rFonts w:ascii="Cambria" w:eastAsia="Times New Roman" w:hAnsi="Cambria"/>
                <w:b/>
                <w:bCs/>
                <w:color w:val="FFFFFF"/>
                <w:sz w:val="24"/>
                <w:szCs w:val="24"/>
              </w:rPr>
            </w:pPr>
            <w:r w:rsidRPr="00BB54D6">
              <w:rPr>
                <w:rFonts w:ascii="Cambria" w:eastAsia="Times New Roman" w:hAnsi="Cambria"/>
                <w:b/>
                <w:bCs/>
                <w:color w:val="FFFFFF"/>
                <w:sz w:val="24"/>
                <w:szCs w:val="24"/>
              </w:rPr>
              <w:t>Table 1: Safety Outcomes 1 and 2</w:t>
            </w:r>
          </w:p>
        </w:tc>
      </w:tr>
      <w:tr w:rsidR="00D46594" w:rsidRPr="00BB54D6" w14:paraId="61F0748E" w14:textId="77777777" w:rsidTr="00027D3D">
        <w:trPr>
          <w:trHeight w:val="300"/>
          <w:jc w:val="center"/>
        </w:trPr>
        <w:tc>
          <w:tcPr>
            <w:tcW w:w="7100" w:type="dxa"/>
            <w:shd w:val="clear" w:color="000000" w:fill="215967"/>
            <w:noWrap/>
            <w:vAlign w:val="center"/>
            <w:hideMark/>
          </w:tcPr>
          <w:p w14:paraId="108F1137" w14:textId="77777777" w:rsidR="00D46594" w:rsidRPr="00BB54D6" w:rsidRDefault="00D46594" w:rsidP="00027D3D">
            <w:pPr>
              <w:spacing w:after="0" w:line="240" w:lineRule="auto"/>
              <w:jc w:val="center"/>
              <w:rPr>
                <w:rFonts w:ascii="Cambria" w:eastAsia="Times New Roman" w:hAnsi="Cambria"/>
                <w:i/>
                <w:iCs/>
                <w:color w:val="FFFFFF"/>
                <w:sz w:val="24"/>
                <w:szCs w:val="24"/>
              </w:rPr>
            </w:pPr>
            <w:r w:rsidRPr="00BB54D6">
              <w:rPr>
                <w:rFonts w:ascii="Cambria" w:eastAsia="Times New Roman" w:hAnsi="Cambria"/>
                <w:i/>
                <w:iCs/>
                <w:color w:val="FFFFFF"/>
                <w:sz w:val="24"/>
                <w:szCs w:val="24"/>
              </w:rPr>
              <w:t> </w:t>
            </w:r>
          </w:p>
        </w:tc>
        <w:tc>
          <w:tcPr>
            <w:tcW w:w="885" w:type="dxa"/>
            <w:shd w:val="clear" w:color="000000" w:fill="215967"/>
            <w:vAlign w:val="center"/>
          </w:tcPr>
          <w:p w14:paraId="5B942845" w14:textId="77777777" w:rsidR="00D46594" w:rsidRPr="00BB54D6" w:rsidRDefault="00D46594" w:rsidP="00027D3D">
            <w:pPr>
              <w:spacing w:after="0" w:line="240" w:lineRule="auto"/>
              <w:jc w:val="center"/>
              <w:rPr>
                <w:rFonts w:ascii="Cambria" w:eastAsia="Times New Roman" w:hAnsi="Cambria"/>
                <w:b/>
                <w:bCs/>
                <w:i/>
                <w:iCs/>
                <w:color w:val="FFFFFF"/>
                <w:sz w:val="24"/>
                <w:szCs w:val="24"/>
              </w:rPr>
            </w:pPr>
            <w:r w:rsidRPr="00BB54D6">
              <w:rPr>
                <w:rFonts w:ascii="Cambria" w:eastAsia="Times New Roman" w:hAnsi="Cambria"/>
                <w:b/>
                <w:bCs/>
                <w:i/>
                <w:iCs/>
                <w:color w:val="FFFFFF"/>
                <w:sz w:val="24"/>
                <w:szCs w:val="24"/>
              </w:rPr>
              <w:t>SFY 2019 QSPR</w:t>
            </w:r>
          </w:p>
        </w:tc>
        <w:tc>
          <w:tcPr>
            <w:tcW w:w="900" w:type="dxa"/>
            <w:shd w:val="clear" w:color="000000" w:fill="215967"/>
            <w:vAlign w:val="center"/>
          </w:tcPr>
          <w:p w14:paraId="5DD9CF3C" w14:textId="77777777" w:rsidR="00D46594" w:rsidRPr="00BB54D6" w:rsidRDefault="00D46594" w:rsidP="00027D3D">
            <w:pPr>
              <w:spacing w:after="0" w:line="240" w:lineRule="auto"/>
              <w:jc w:val="center"/>
              <w:rPr>
                <w:rFonts w:ascii="Cambria" w:eastAsia="Times New Roman" w:hAnsi="Cambria"/>
                <w:b/>
                <w:bCs/>
                <w:i/>
                <w:iCs/>
                <w:color w:val="FFFFFF"/>
                <w:sz w:val="24"/>
                <w:szCs w:val="24"/>
              </w:rPr>
            </w:pPr>
            <w:r w:rsidRPr="00BB54D6">
              <w:rPr>
                <w:rFonts w:ascii="Cambria" w:eastAsia="Times New Roman" w:hAnsi="Cambria"/>
                <w:b/>
                <w:bCs/>
                <w:i/>
                <w:iCs/>
                <w:color w:val="FFFFFF"/>
                <w:sz w:val="24"/>
                <w:szCs w:val="24"/>
              </w:rPr>
              <w:t>SFY 2018</w:t>
            </w:r>
          </w:p>
          <w:p w14:paraId="07F0076B" w14:textId="77777777" w:rsidR="00D46594" w:rsidRPr="00BB54D6" w:rsidRDefault="00D46594" w:rsidP="00027D3D">
            <w:pPr>
              <w:spacing w:after="0" w:line="240" w:lineRule="auto"/>
              <w:jc w:val="center"/>
              <w:rPr>
                <w:rFonts w:ascii="Cambria" w:eastAsia="Times New Roman" w:hAnsi="Cambria"/>
                <w:b/>
                <w:bCs/>
                <w:i/>
                <w:iCs/>
                <w:color w:val="FFFFFF"/>
                <w:sz w:val="24"/>
                <w:szCs w:val="24"/>
              </w:rPr>
            </w:pPr>
            <w:r w:rsidRPr="00BB54D6">
              <w:rPr>
                <w:rFonts w:ascii="Cambria" w:eastAsia="Times New Roman" w:hAnsi="Cambria"/>
                <w:b/>
                <w:bCs/>
                <w:i/>
                <w:iCs/>
                <w:color w:val="FFFFFF"/>
                <w:sz w:val="24"/>
                <w:szCs w:val="24"/>
              </w:rPr>
              <w:t>QSPR</w:t>
            </w:r>
          </w:p>
        </w:tc>
        <w:tc>
          <w:tcPr>
            <w:tcW w:w="915" w:type="dxa"/>
            <w:shd w:val="clear" w:color="000000" w:fill="215967"/>
            <w:vAlign w:val="center"/>
          </w:tcPr>
          <w:p w14:paraId="1E594673" w14:textId="77777777" w:rsidR="00D46594" w:rsidRPr="00BB54D6" w:rsidRDefault="00D46594" w:rsidP="00027D3D">
            <w:pPr>
              <w:spacing w:after="0" w:line="240" w:lineRule="auto"/>
              <w:jc w:val="center"/>
              <w:rPr>
                <w:rFonts w:ascii="Cambria" w:eastAsia="Times New Roman" w:hAnsi="Cambria"/>
                <w:b/>
                <w:bCs/>
                <w:i/>
                <w:iCs/>
                <w:color w:val="FFFFFF"/>
                <w:sz w:val="24"/>
                <w:szCs w:val="24"/>
              </w:rPr>
            </w:pPr>
            <w:r w:rsidRPr="00BB54D6">
              <w:rPr>
                <w:rFonts w:ascii="Cambria" w:eastAsia="Times New Roman" w:hAnsi="Cambria"/>
                <w:b/>
                <w:bCs/>
                <w:i/>
                <w:iCs/>
                <w:color w:val="FFFFFF"/>
                <w:sz w:val="24"/>
                <w:szCs w:val="24"/>
              </w:rPr>
              <w:t>Round 3 CFSR</w:t>
            </w:r>
          </w:p>
        </w:tc>
      </w:tr>
      <w:tr w:rsidR="00D46594" w:rsidRPr="00BB54D6" w14:paraId="64C7599F" w14:textId="77777777" w:rsidTr="00027D3D">
        <w:trPr>
          <w:trHeight w:val="570"/>
          <w:jc w:val="center"/>
        </w:trPr>
        <w:tc>
          <w:tcPr>
            <w:tcW w:w="7100" w:type="dxa"/>
            <w:shd w:val="clear" w:color="000000" w:fill="215967"/>
            <w:vAlign w:val="center"/>
            <w:hideMark/>
          </w:tcPr>
          <w:p w14:paraId="60B45010" w14:textId="77777777" w:rsidR="00D46594" w:rsidRPr="00BB54D6" w:rsidRDefault="00D46594" w:rsidP="00027D3D">
            <w:pPr>
              <w:spacing w:after="0" w:line="240" w:lineRule="auto"/>
              <w:rPr>
                <w:rFonts w:ascii="Cambria" w:eastAsia="Times New Roman" w:hAnsi="Cambria"/>
                <w:b/>
                <w:bCs/>
                <w:color w:val="FFFFFF"/>
                <w:sz w:val="24"/>
                <w:szCs w:val="24"/>
              </w:rPr>
            </w:pPr>
            <w:r w:rsidRPr="00BB54D6">
              <w:rPr>
                <w:rFonts w:ascii="Cambria" w:eastAsia="Times New Roman" w:hAnsi="Cambria"/>
                <w:b/>
                <w:bCs/>
                <w:color w:val="FFFFFF"/>
                <w:sz w:val="24"/>
                <w:szCs w:val="24"/>
              </w:rPr>
              <w:t xml:space="preserve">Safety 1: Children are, first and foremost, protected from abuse and neglect  </w:t>
            </w:r>
          </w:p>
        </w:tc>
        <w:tc>
          <w:tcPr>
            <w:tcW w:w="885" w:type="dxa"/>
            <w:shd w:val="clear" w:color="000000" w:fill="215967"/>
            <w:noWrap/>
            <w:vAlign w:val="center"/>
          </w:tcPr>
          <w:p w14:paraId="007065E9" w14:textId="77777777" w:rsidR="00D46594" w:rsidRPr="00BB54D6" w:rsidRDefault="00D46594" w:rsidP="00027D3D">
            <w:pPr>
              <w:spacing w:after="0" w:line="240" w:lineRule="auto"/>
              <w:jc w:val="center"/>
              <w:rPr>
                <w:rFonts w:ascii="Cambria" w:eastAsia="Times New Roman" w:hAnsi="Cambria"/>
                <w:b/>
                <w:bCs/>
                <w:color w:val="FFFFFF"/>
                <w:sz w:val="24"/>
                <w:szCs w:val="24"/>
              </w:rPr>
            </w:pPr>
            <w:r w:rsidRPr="00BB54D6">
              <w:rPr>
                <w:rFonts w:ascii="Cambria" w:eastAsia="Times New Roman" w:hAnsi="Cambria"/>
                <w:b/>
                <w:bCs/>
                <w:color w:val="FFFFFF"/>
                <w:sz w:val="24"/>
                <w:szCs w:val="24"/>
              </w:rPr>
              <w:t>87%</w:t>
            </w:r>
          </w:p>
        </w:tc>
        <w:tc>
          <w:tcPr>
            <w:tcW w:w="900" w:type="dxa"/>
            <w:shd w:val="clear" w:color="000000" w:fill="215967"/>
            <w:vAlign w:val="center"/>
          </w:tcPr>
          <w:p w14:paraId="730244ED" w14:textId="77777777" w:rsidR="00D46594" w:rsidRPr="00BB54D6" w:rsidRDefault="00D46594" w:rsidP="00027D3D">
            <w:pPr>
              <w:spacing w:after="0" w:line="240" w:lineRule="auto"/>
              <w:jc w:val="center"/>
              <w:rPr>
                <w:rFonts w:ascii="Cambria" w:eastAsia="Times New Roman" w:hAnsi="Cambria"/>
                <w:b/>
                <w:bCs/>
                <w:color w:val="FFFFFF"/>
                <w:sz w:val="24"/>
                <w:szCs w:val="24"/>
              </w:rPr>
            </w:pPr>
            <w:r w:rsidRPr="00BB54D6">
              <w:rPr>
                <w:rFonts w:ascii="Cambria" w:eastAsia="Times New Roman" w:hAnsi="Cambria"/>
                <w:b/>
                <w:bCs/>
                <w:color w:val="FFFFFF"/>
                <w:sz w:val="24"/>
                <w:szCs w:val="24"/>
              </w:rPr>
              <w:t>76%</w:t>
            </w:r>
          </w:p>
        </w:tc>
        <w:tc>
          <w:tcPr>
            <w:tcW w:w="915" w:type="dxa"/>
            <w:shd w:val="clear" w:color="000000" w:fill="215967"/>
            <w:vAlign w:val="center"/>
          </w:tcPr>
          <w:p w14:paraId="391B3B86" w14:textId="77777777" w:rsidR="00D46594" w:rsidRPr="00BB54D6" w:rsidRDefault="00D46594" w:rsidP="00027D3D">
            <w:pPr>
              <w:spacing w:after="0" w:line="240" w:lineRule="auto"/>
              <w:jc w:val="center"/>
              <w:rPr>
                <w:rFonts w:ascii="Cambria" w:eastAsia="Times New Roman" w:hAnsi="Cambria"/>
                <w:b/>
                <w:bCs/>
                <w:color w:val="FFFFFF"/>
                <w:sz w:val="24"/>
                <w:szCs w:val="24"/>
              </w:rPr>
            </w:pPr>
            <w:r w:rsidRPr="00BB54D6">
              <w:rPr>
                <w:rFonts w:ascii="Cambria" w:eastAsia="Times New Roman" w:hAnsi="Cambria"/>
                <w:b/>
                <w:bCs/>
                <w:color w:val="FFFFFF"/>
                <w:sz w:val="24"/>
                <w:szCs w:val="24"/>
              </w:rPr>
              <w:t>69%</w:t>
            </w:r>
          </w:p>
        </w:tc>
      </w:tr>
      <w:tr w:rsidR="00D46594" w:rsidRPr="00BB54D6" w14:paraId="333B9E00" w14:textId="77777777" w:rsidTr="00027D3D">
        <w:trPr>
          <w:trHeight w:val="300"/>
          <w:jc w:val="center"/>
        </w:trPr>
        <w:tc>
          <w:tcPr>
            <w:tcW w:w="7100" w:type="dxa"/>
            <w:shd w:val="clear" w:color="auto" w:fill="auto"/>
            <w:noWrap/>
            <w:vAlign w:val="center"/>
            <w:hideMark/>
          </w:tcPr>
          <w:p w14:paraId="4EC60FB6" w14:textId="77777777" w:rsidR="00D46594" w:rsidRPr="00BB54D6" w:rsidRDefault="00D46594" w:rsidP="00027D3D">
            <w:pPr>
              <w:spacing w:after="0" w:line="240" w:lineRule="auto"/>
              <w:rPr>
                <w:rFonts w:ascii="Cambria" w:eastAsia="Times New Roman" w:hAnsi="Cambria"/>
                <w:color w:val="000000"/>
                <w:sz w:val="24"/>
                <w:szCs w:val="24"/>
              </w:rPr>
            </w:pPr>
            <w:r w:rsidRPr="00BB54D6">
              <w:rPr>
                <w:rFonts w:ascii="Cambria" w:eastAsia="Times New Roman" w:hAnsi="Cambria"/>
                <w:color w:val="000000"/>
                <w:sz w:val="24"/>
                <w:szCs w:val="24"/>
              </w:rPr>
              <w:t xml:space="preserve">    Item 1: Timeliness of Initiating Investigations (N=105)</w:t>
            </w:r>
          </w:p>
        </w:tc>
        <w:tc>
          <w:tcPr>
            <w:tcW w:w="885" w:type="dxa"/>
            <w:shd w:val="clear" w:color="auto" w:fill="auto"/>
            <w:noWrap/>
            <w:vAlign w:val="center"/>
          </w:tcPr>
          <w:p w14:paraId="1F55A8FD"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87%</w:t>
            </w:r>
          </w:p>
        </w:tc>
        <w:tc>
          <w:tcPr>
            <w:tcW w:w="900" w:type="dxa"/>
            <w:vAlign w:val="center"/>
          </w:tcPr>
          <w:p w14:paraId="3440ACA8"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76%</w:t>
            </w:r>
          </w:p>
        </w:tc>
        <w:tc>
          <w:tcPr>
            <w:tcW w:w="915" w:type="dxa"/>
            <w:vAlign w:val="center"/>
          </w:tcPr>
          <w:p w14:paraId="302C6C18"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69%</w:t>
            </w:r>
          </w:p>
        </w:tc>
      </w:tr>
      <w:tr w:rsidR="00D46594" w:rsidRPr="00BB54D6" w14:paraId="13BAB0F1" w14:textId="77777777" w:rsidTr="00027D3D">
        <w:trPr>
          <w:trHeight w:val="630"/>
          <w:jc w:val="center"/>
        </w:trPr>
        <w:tc>
          <w:tcPr>
            <w:tcW w:w="7100" w:type="dxa"/>
            <w:shd w:val="clear" w:color="000000" w:fill="215967"/>
            <w:vAlign w:val="center"/>
            <w:hideMark/>
          </w:tcPr>
          <w:p w14:paraId="11293235" w14:textId="77777777" w:rsidR="00D46594" w:rsidRPr="00BB54D6" w:rsidRDefault="00D46594" w:rsidP="00027D3D">
            <w:pPr>
              <w:spacing w:after="0" w:line="240" w:lineRule="auto"/>
              <w:rPr>
                <w:rFonts w:ascii="Cambria" w:eastAsia="Times New Roman" w:hAnsi="Cambria"/>
                <w:b/>
                <w:bCs/>
                <w:color w:val="FFFFFF"/>
                <w:sz w:val="24"/>
                <w:szCs w:val="24"/>
              </w:rPr>
            </w:pPr>
            <w:r w:rsidRPr="00BB54D6">
              <w:rPr>
                <w:rFonts w:ascii="Cambria" w:eastAsia="Times New Roman" w:hAnsi="Cambria"/>
                <w:b/>
                <w:bCs/>
                <w:color w:val="FFFFFF"/>
                <w:sz w:val="24"/>
                <w:szCs w:val="24"/>
              </w:rPr>
              <w:t xml:space="preserve">Safety 2: Children are safely maintained in their homes whenever possible and appropriate  </w:t>
            </w:r>
          </w:p>
        </w:tc>
        <w:tc>
          <w:tcPr>
            <w:tcW w:w="885" w:type="dxa"/>
            <w:shd w:val="clear" w:color="000000" w:fill="215967"/>
            <w:noWrap/>
            <w:vAlign w:val="center"/>
          </w:tcPr>
          <w:p w14:paraId="7477C450" w14:textId="77777777" w:rsidR="00D46594" w:rsidRPr="00BB54D6" w:rsidRDefault="00D46594" w:rsidP="00027D3D">
            <w:pPr>
              <w:spacing w:after="0" w:line="240" w:lineRule="auto"/>
              <w:jc w:val="center"/>
              <w:rPr>
                <w:rFonts w:ascii="Cambria" w:eastAsia="Times New Roman" w:hAnsi="Cambria"/>
                <w:b/>
                <w:bCs/>
                <w:color w:val="FFFFFF"/>
                <w:sz w:val="24"/>
                <w:szCs w:val="24"/>
              </w:rPr>
            </w:pPr>
            <w:r w:rsidRPr="00BB54D6">
              <w:rPr>
                <w:rFonts w:ascii="Cambria" w:eastAsia="Times New Roman" w:hAnsi="Cambria"/>
                <w:b/>
                <w:bCs/>
                <w:color w:val="FFFFFF"/>
                <w:sz w:val="24"/>
                <w:szCs w:val="24"/>
              </w:rPr>
              <w:t>83%</w:t>
            </w:r>
          </w:p>
        </w:tc>
        <w:tc>
          <w:tcPr>
            <w:tcW w:w="900" w:type="dxa"/>
            <w:shd w:val="clear" w:color="000000" w:fill="215967"/>
            <w:vAlign w:val="center"/>
          </w:tcPr>
          <w:p w14:paraId="31B31F95" w14:textId="77777777" w:rsidR="00D46594" w:rsidRPr="00BB54D6" w:rsidRDefault="00D46594" w:rsidP="00027D3D">
            <w:pPr>
              <w:spacing w:after="0" w:line="240" w:lineRule="auto"/>
              <w:jc w:val="center"/>
              <w:rPr>
                <w:rFonts w:ascii="Cambria" w:eastAsia="Times New Roman" w:hAnsi="Cambria"/>
                <w:b/>
                <w:bCs/>
                <w:color w:val="FFFFFF"/>
                <w:sz w:val="24"/>
                <w:szCs w:val="24"/>
              </w:rPr>
            </w:pPr>
            <w:r w:rsidRPr="00BB54D6">
              <w:rPr>
                <w:rFonts w:ascii="Cambria" w:eastAsia="Times New Roman" w:hAnsi="Cambria"/>
                <w:b/>
                <w:bCs/>
                <w:color w:val="FFFFFF"/>
                <w:sz w:val="24"/>
                <w:szCs w:val="24"/>
              </w:rPr>
              <w:t>70%</w:t>
            </w:r>
          </w:p>
        </w:tc>
        <w:tc>
          <w:tcPr>
            <w:tcW w:w="915" w:type="dxa"/>
            <w:shd w:val="clear" w:color="000000" w:fill="215967"/>
            <w:vAlign w:val="center"/>
          </w:tcPr>
          <w:p w14:paraId="3FCF6DF9" w14:textId="77777777" w:rsidR="00D46594" w:rsidRPr="00BB54D6" w:rsidRDefault="00D46594" w:rsidP="00027D3D">
            <w:pPr>
              <w:spacing w:after="0" w:line="240" w:lineRule="auto"/>
              <w:jc w:val="center"/>
              <w:rPr>
                <w:rFonts w:ascii="Cambria" w:eastAsia="Times New Roman" w:hAnsi="Cambria"/>
                <w:b/>
                <w:bCs/>
                <w:color w:val="FFFFFF"/>
                <w:sz w:val="24"/>
                <w:szCs w:val="24"/>
              </w:rPr>
            </w:pPr>
            <w:r w:rsidRPr="00BB54D6">
              <w:rPr>
                <w:rFonts w:ascii="Cambria" w:eastAsia="Times New Roman" w:hAnsi="Cambria"/>
                <w:b/>
                <w:bCs/>
                <w:color w:val="FFFFFF"/>
                <w:sz w:val="24"/>
                <w:szCs w:val="24"/>
              </w:rPr>
              <w:t>60%</w:t>
            </w:r>
          </w:p>
        </w:tc>
      </w:tr>
      <w:tr w:rsidR="00D46594" w:rsidRPr="00BB54D6" w14:paraId="08788A4A" w14:textId="77777777" w:rsidTr="00027D3D">
        <w:trPr>
          <w:trHeight w:val="300"/>
          <w:jc w:val="center"/>
        </w:trPr>
        <w:tc>
          <w:tcPr>
            <w:tcW w:w="7100" w:type="dxa"/>
            <w:shd w:val="clear" w:color="auto" w:fill="auto"/>
            <w:noWrap/>
            <w:vAlign w:val="center"/>
            <w:hideMark/>
          </w:tcPr>
          <w:p w14:paraId="7C22CBF6" w14:textId="77777777" w:rsidR="00D46594" w:rsidRPr="00BB54D6" w:rsidRDefault="00D46594" w:rsidP="00027D3D">
            <w:pPr>
              <w:spacing w:after="0" w:line="240" w:lineRule="auto"/>
              <w:rPr>
                <w:rFonts w:ascii="Cambria" w:eastAsia="Times New Roman" w:hAnsi="Cambria"/>
                <w:color w:val="000000"/>
                <w:sz w:val="24"/>
                <w:szCs w:val="24"/>
              </w:rPr>
            </w:pPr>
            <w:r w:rsidRPr="00BB54D6">
              <w:rPr>
                <w:rFonts w:ascii="Cambria" w:eastAsia="Times New Roman" w:hAnsi="Cambria"/>
                <w:color w:val="000000"/>
                <w:sz w:val="24"/>
                <w:szCs w:val="24"/>
              </w:rPr>
              <w:t xml:space="preserve">    Item 2: Services to Prevent Removal (N=50)</w:t>
            </w:r>
          </w:p>
        </w:tc>
        <w:tc>
          <w:tcPr>
            <w:tcW w:w="885" w:type="dxa"/>
            <w:shd w:val="clear" w:color="auto" w:fill="auto"/>
            <w:noWrap/>
            <w:vAlign w:val="center"/>
          </w:tcPr>
          <w:p w14:paraId="5DF7A855"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94%</w:t>
            </w:r>
          </w:p>
        </w:tc>
        <w:tc>
          <w:tcPr>
            <w:tcW w:w="900" w:type="dxa"/>
            <w:vAlign w:val="center"/>
          </w:tcPr>
          <w:p w14:paraId="0101AA69"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74%</w:t>
            </w:r>
          </w:p>
        </w:tc>
        <w:tc>
          <w:tcPr>
            <w:tcW w:w="915" w:type="dxa"/>
            <w:vAlign w:val="center"/>
          </w:tcPr>
          <w:p w14:paraId="37F33657"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55%</w:t>
            </w:r>
          </w:p>
        </w:tc>
      </w:tr>
      <w:tr w:rsidR="00D46594" w:rsidRPr="00BB54D6" w14:paraId="76BB11F5" w14:textId="77777777" w:rsidTr="00027D3D">
        <w:trPr>
          <w:trHeight w:val="315"/>
          <w:jc w:val="center"/>
        </w:trPr>
        <w:tc>
          <w:tcPr>
            <w:tcW w:w="7100" w:type="dxa"/>
            <w:shd w:val="clear" w:color="auto" w:fill="auto"/>
            <w:noWrap/>
            <w:vAlign w:val="center"/>
            <w:hideMark/>
          </w:tcPr>
          <w:p w14:paraId="135E004B" w14:textId="77777777" w:rsidR="00D46594" w:rsidRPr="00BB54D6" w:rsidRDefault="00D46594" w:rsidP="00027D3D">
            <w:pPr>
              <w:spacing w:after="0" w:line="240" w:lineRule="auto"/>
              <w:rPr>
                <w:rFonts w:ascii="Cambria" w:eastAsia="Times New Roman" w:hAnsi="Cambria"/>
                <w:color w:val="000000"/>
                <w:sz w:val="24"/>
                <w:szCs w:val="24"/>
              </w:rPr>
            </w:pPr>
            <w:r w:rsidRPr="00BB54D6">
              <w:rPr>
                <w:rFonts w:ascii="Cambria" w:eastAsia="Times New Roman" w:hAnsi="Cambria"/>
                <w:color w:val="000000"/>
                <w:sz w:val="24"/>
                <w:szCs w:val="24"/>
              </w:rPr>
              <w:t xml:space="preserve">    Item 3: Risk and Safety Assessment and Management (N=200)</w:t>
            </w:r>
          </w:p>
        </w:tc>
        <w:tc>
          <w:tcPr>
            <w:tcW w:w="885" w:type="dxa"/>
            <w:shd w:val="clear" w:color="auto" w:fill="auto"/>
            <w:noWrap/>
            <w:vAlign w:val="center"/>
          </w:tcPr>
          <w:p w14:paraId="183DF4B2"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83%</w:t>
            </w:r>
          </w:p>
        </w:tc>
        <w:tc>
          <w:tcPr>
            <w:tcW w:w="900" w:type="dxa"/>
            <w:vAlign w:val="center"/>
          </w:tcPr>
          <w:p w14:paraId="1BE11407"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71%</w:t>
            </w:r>
          </w:p>
        </w:tc>
        <w:tc>
          <w:tcPr>
            <w:tcW w:w="915" w:type="dxa"/>
            <w:vAlign w:val="center"/>
          </w:tcPr>
          <w:p w14:paraId="24CA0F56" w14:textId="77777777" w:rsidR="00D46594" w:rsidRPr="00BB54D6" w:rsidRDefault="00D46594" w:rsidP="00027D3D">
            <w:pPr>
              <w:spacing w:after="0" w:line="240" w:lineRule="auto"/>
              <w:jc w:val="center"/>
              <w:rPr>
                <w:rFonts w:ascii="Cambria" w:eastAsia="Times New Roman" w:hAnsi="Cambria"/>
                <w:color w:val="000000"/>
                <w:sz w:val="24"/>
                <w:szCs w:val="24"/>
              </w:rPr>
            </w:pPr>
            <w:r w:rsidRPr="00BB54D6">
              <w:rPr>
                <w:rFonts w:ascii="Cambria" w:eastAsia="Times New Roman" w:hAnsi="Cambria"/>
                <w:color w:val="000000"/>
                <w:sz w:val="24"/>
                <w:szCs w:val="24"/>
              </w:rPr>
              <w:t>61%</w:t>
            </w:r>
          </w:p>
        </w:tc>
      </w:tr>
    </w:tbl>
    <w:p w14:paraId="01ACDB4B" w14:textId="77777777" w:rsidR="00D46594" w:rsidRPr="00BB54D6" w:rsidRDefault="00D46594" w:rsidP="00D46594">
      <w:pPr>
        <w:spacing w:after="0" w:line="240" w:lineRule="auto"/>
        <w:jc w:val="both"/>
        <w:rPr>
          <w:rFonts w:ascii="Cambria" w:hAnsi="Cambria"/>
          <w:sz w:val="24"/>
          <w:szCs w:val="24"/>
        </w:rPr>
      </w:pPr>
    </w:p>
    <w:p w14:paraId="5F658650" w14:textId="77777777" w:rsidR="00D46594" w:rsidRPr="00BB54D6" w:rsidRDefault="00D46594" w:rsidP="00D46594">
      <w:pPr>
        <w:spacing w:after="0" w:line="240" w:lineRule="auto"/>
        <w:jc w:val="both"/>
        <w:rPr>
          <w:rFonts w:ascii="Cambria" w:hAnsi="Cambria"/>
          <w:i/>
          <w:smallCaps/>
          <w:sz w:val="24"/>
          <w:szCs w:val="24"/>
        </w:rPr>
      </w:pPr>
      <w:r w:rsidRPr="00BB54D6">
        <w:rPr>
          <w:rFonts w:ascii="Cambria" w:hAnsi="Cambria"/>
          <w:i/>
          <w:smallCaps/>
          <w:sz w:val="24"/>
          <w:szCs w:val="24"/>
        </w:rPr>
        <w:t>Strengths</w:t>
      </w:r>
    </w:p>
    <w:p w14:paraId="54DEA280" w14:textId="77777777" w:rsidR="00D46594" w:rsidRPr="00BB54D6" w:rsidRDefault="00D46594" w:rsidP="00D46594">
      <w:pPr>
        <w:spacing w:after="0" w:line="240" w:lineRule="auto"/>
        <w:jc w:val="both"/>
        <w:rPr>
          <w:rFonts w:ascii="Cambria" w:hAnsi="Cambria"/>
          <w:sz w:val="24"/>
          <w:szCs w:val="24"/>
        </w:rPr>
      </w:pPr>
    </w:p>
    <w:p w14:paraId="7C0CE781" w14:textId="30D4EAB6" w:rsidR="00D46594" w:rsidRPr="00BB54D6" w:rsidRDefault="00D46594" w:rsidP="00D46594">
      <w:pPr>
        <w:keepNext/>
        <w:numPr>
          <w:ilvl w:val="0"/>
          <w:numId w:val="1"/>
        </w:numPr>
        <w:spacing w:after="0" w:line="240" w:lineRule="auto"/>
        <w:jc w:val="both"/>
        <w:rPr>
          <w:rFonts w:ascii="Cambria" w:hAnsi="Cambria"/>
          <w:sz w:val="24"/>
          <w:szCs w:val="24"/>
        </w:rPr>
      </w:pPr>
      <w:r w:rsidRPr="00BB54D6">
        <w:rPr>
          <w:rFonts w:ascii="Cambria" w:hAnsi="Cambria"/>
          <w:b/>
          <w:sz w:val="24"/>
          <w:szCs w:val="24"/>
        </w:rPr>
        <w:t xml:space="preserve">Services to Prevent Removal – </w:t>
      </w:r>
      <w:r w:rsidRPr="00BB54D6">
        <w:rPr>
          <w:rFonts w:ascii="Cambria" w:hAnsi="Cambria"/>
          <w:sz w:val="24"/>
          <w:szCs w:val="24"/>
        </w:rPr>
        <w:t>DCFS provided the services</w:t>
      </w:r>
      <w:r>
        <w:rPr>
          <w:rFonts w:ascii="Cambria" w:hAnsi="Cambria"/>
          <w:sz w:val="24"/>
          <w:szCs w:val="24"/>
        </w:rPr>
        <w:t xml:space="preserve"> needed</w:t>
      </w:r>
      <w:r w:rsidRPr="00BB54D6">
        <w:rPr>
          <w:rFonts w:ascii="Cambria" w:hAnsi="Cambria"/>
          <w:sz w:val="24"/>
          <w:szCs w:val="24"/>
        </w:rPr>
        <w:t xml:space="preserve"> to prevent children from </w:t>
      </w:r>
      <w:r w:rsidR="00C068B9">
        <w:rPr>
          <w:rFonts w:ascii="Cambria" w:hAnsi="Cambria"/>
          <w:sz w:val="24"/>
          <w:szCs w:val="24"/>
        </w:rPr>
        <w:t xml:space="preserve">removal (Item 2) </w:t>
      </w:r>
      <w:r w:rsidRPr="00BB54D6">
        <w:rPr>
          <w:rFonts w:ascii="Cambria" w:hAnsi="Cambria"/>
          <w:sz w:val="24"/>
          <w:szCs w:val="24"/>
        </w:rPr>
        <w:t xml:space="preserve">in 94 percent of the reviewed cases.  The State’s performance for this item </w:t>
      </w:r>
      <w:r w:rsidR="00F011A9">
        <w:rPr>
          <w:rFonts w:ascii="Cambria" w:hAnsi="Cambria"/>
          <w:sz w:val="24"/>
          <w:szCs w:val="24"/>
        </w:rPr>
        <w:t xml:space="preserve">demonstrates substantial </w:t>
      </w:r>
      <w:r w:rsidRPr="00BB54D6">
        <w:rPr>
          <w:rFonts w:ascii="Cambria" w:hAnsi="Cambria"/>
          <w:sz w:val="24"/>
          <w:szCs w:val="24"/>
        </w:rPr>
        <w:t>improve</w:t>
      </w:r>
      <w:r w:rsidR="00F011A9">
        <w:rPr>
          <w:rFonts w:ascii="Cambria" w:hAnsi="Cambria"/>
          <w:sz w:val="24"/>
          <w:szCs w:val="24"/>
        </w:rPr>
        <w:t>ment</w:t>
      </w:r>
      <w:r w:rsidRPr="00BB54D6">
        <w:rPr>
          <w:rFonts w:ascii="Cambria" w:hAnsi="Cambria"/>
          <w:sz w:val="24"/>
          <w:szCs w:val="24"/>
        </w:rPr>
        <w:t xml:space="preserve"> since the SFY 2018 QSPR with an increase of 20 percentage points</w:t>
      </w:r>
      <w:r w:rsidR="00C068B9">
        <w:rPr>
          <w:rFonts w:ascii="Cambria" w:hAnsi="Cambria"/>
          <w:sz w:val="24"/>
          <w:szCs w:val="24"/>
        </w:rPr>
        <w:t xml:space="preserve">. </w:t>
      </w:r>
      <w:r w:rsidRPr="00BB54D6">
        <w:rPr>
          <w:rFonts w:ascii="Cambria" w:hAnsi="Cambria"/>
          <w:sz w:val="24"/>
          <w:szCs w:val="24"/>
        </w:rPr>
        <w:t>More than half of the state’s service areas successfully provided services to prevent removal</w:t>
      </w:r>
      <w:r w:rsidR="008B7133">
        <w:rPr>
          <w:rFonts w:ascii="Cambria" w:hAnsi="Cambria"/>
          <w:sz w:val="24"/>
          <w:szCs w:val="24"/>
        </w:rPr>
        <w:t xml:space="preserve"> (Item 2)</w:t>
      </w:r>
      <w:r w:rsidRPr="00BB54D6">
        <w:rPr>
          <w:rFonts w:ascii="Cambria" w:hAnsi="Cambria"/>
          <w:sz w:val="24"/>
          <w:szCs w:val="24"/>
        </w:rPr>
        <w:t xml:space="preserve"> in 100 percent of the cases reviewed for SFY 2019. Area 2</w:t>
      </w:r>
      <w:r>
        <w:rPr>
          <w:rFonts w:ascii="Cambria" w:hAnsi="Cambria"/>
          <w:sz w:val="24"/>
          <w:szCs w:val="24"/>
        </w:rPr>
        <w:t xml:space="preserve"> was the only Area that did not demonstrate improvement since the previous year’s QS</w:t>
      </w:r>
      <w:r w:rsidR="00F011A9">
        <w:rPr>
          <w:rFonts w:ascii="Cambria" w:hAnsi="Cambria"/>
          <w:sz w:val="24"/>
          <w:szCs w:val="24"/>
        </w:rPr>
        <w:t>P</w:t>
      </w:r>
      <w:r>
        <w:rPr>
          <w:rFonts w:ascii="Cambria" w:hAnsi="Cambria"/>
          <w:sz w:val="24"/>
          <w:szCs w:val="24"/>
        </w:rPr>
        <w:t>R or Round 3 of the CFSR</w:t>
      </w:r>
      <w:r w:rsidRPr="00BB54D6">
        <w:rPr>
          <w:rFonts w:ascii="Cambria" w:hAnsi="Cambria"/>
          <w:sz w:val="24"/>
          <w:szCs w:val="24"/>
        </w:rPr>
        <w:t xml:space="preserve">. </w:t>
      </w:r>
    </w:p>
    <w:p w14:paraId="09F008B7" w14:textId="77777777" w:rsidR="00D46594" w:rsidRPr="00BB54D6" w:rsidRDefault="00D46594" w:rsidP="00D46594">
      <w:pPr>
        <w:keepNext/>
        <w:spacing w:after="0" w:line="240" w:lineRule="auto"/>
        <w:jc w:val="both"/>
        <w:rPr>
          <w:rFonts w:ascii="Cambria" w:hAnsi="Cambria"/>
          <w:sz w:val="24"/>
          <w:szCs w:val="24"/>
        </w:rPr>
      </w:pPr>
    </w:p>
    <w:p w14:paraId="588B1D29" w14:textId="49616F94" w:rsidR="00D46594" w:rsidRDefault="00D46594" w:rsidP="00D46594">
      <w:pPr>
        <w:spacing w:after="0" w:line="240" w:lineRule="auto"/>
        <w:jc w:val="both"/>
        <w:rPr>
          <w:rFonts w:ascii="Cambria" w:hAnsi="Cambria"/>
          <w:i/>
          <w:smallCaps/>
          <w:sz w:val="24"/>
          <w:szCs w:val="24"/>
        </w:rPr>
      </w:pPr>
    </w:p>
    <w:p w14:paraId="3A02635F" w14:textId="77777777" w:rsidR="00A2495A" w:rsidRPr="00BB54D6" w:rsidRDefault="00A2495A" w:rsidP="00D46594">
      <w:pPr>
        <w:spacing w:after="0" w:line="240" w:lineRule="auto"/>
        <w:jc w:val="both"/>
        <w:rPr>
          <w:rFonts w:ascii="Cambria" w:hAnsi="Cambria"/>
          <w:i/>
          <w:smallCaps/>
          <w:sz w:val="24"/>
          <w:szCs w:val="24"/>
        </w:rPr>
      </w:pPr>
    </w:p>
    <w:p w14:paraId="6BEA8F13" w14:textId="77777777" w:rsidR="00D46594" w:rsidRPr="00BB54D6" w:rsidRDefault="00D46594" w:rsidP="00D46594">
      <w:pPr>
        <w:spacing w:after="0" w:line="240" w:lineRule="auto"/>
        <w:jc w:val="both"/>
        <w:rPr>
          <w:rFonts w:ascii="Cambria" w:hAnsi="Cambria"/>
          <w:i/>
          <w:smallCaps/>
          <w:sz w:val="24"/>
          <w:szCs w:val="24"/>
        </w:rPr>
      </w:pPr>
      <w:r w:rsidRPr="00BB54D6">
        <w:rPr>
          <w:rFonts w:ascii="Cambria" w:hAnsi="Cambria"/>
          <w:i/>
          <w:smallCaps/>
          <w:sz w:val="24"/>
          <w:szCs w:val="24"/>
        </w:rPr>
        <w:t>Areas Needing Improvement</w:t>
      </w:r>
    </w:p>
    <w:p w14:paraId="207FBC4C" w14:textId="77777777" w:rsidR="00D46594" w:rsidRPr="00BB54D6" w:rsidRDefault="00D46594" w:rsidP="00D46594">
      <w:pPr>
        <w:spacing w:after="0" w:line="240" w:lineRule="auto"/>
        <w:jc w:val="both"/>
        <w:rPr>
          <w:rFonts w:ascii="Cambria" w:hAnsi="Cambria"/>
          <w:i/>
          <w:smallCaps/>
          <w:sz w:val="24"/>
          <w:szCs w:val="24"/>
          <w:highlight w:val="yellow"/>
        </w:rPr>
      </w:pPr>
    </w:p>
    <w:p w14:paraId="5F6774C4" w14:textId="68BB33A1" w:rsidR="00D46594" w:rsidRPr="00BB54D6" w:rsidRDefault="00D46594" w:rsidP="00D46594">
      <w:pPr>
        <w:keepNext/>
        <w:numPr>
          <w:ilvl w:val="0"/>
          <w:numId w:val="1"/>
        </w:numPr>
        <w:spacing w:after="0" w:line="240" w:lineRule="auto"/>
        <w:jc w:val="both"/>
        <w:rPr>
          <w:rFonts w:ascii="Cambria" w:hAnsi="Cambria"/>
          <w:sz w:val="24"/>
          <w:szCs w:val="24"/>
        </w:rPr>
      </w:pPr>
      <w:r w:rsidRPr="00BB54D6">
        <w:rPr>
          <w:rFonts w:ascii="Cambria" w:hAnsi="Cambria"/>
          <w:b/>
          <w:sz w:val="24"/>
          <w:szCs w:val="24"/>
        </w:rPr>
        <w:t>Timeliness of Initiating Investigations</w:t>
      </w:r>
      <w:r w:rsidR="00357641" w:rsidRPr="00BB54D6">
        <w:rPr>
          <w:rFonts w:ascii="Cambria" w:hAnsi="Cambria"/>
          <w:b/>
          <w:sz w:val="24"/>
          <w:szCs w:val="24"/>
        </w:rPr>
        <w:t xml:space="preserve"> – </w:t>
      </w:r>
      <w:r w:rsidRPr="00BB54D6">
        <w:rPr>
          <w:rFonts w:ascii="Cambria" w:hAnsi="Cambria"/>
          <w:sz w:val="24"/>
          <w:szCs w:val="24"/>
        </w:rPr>
        <w:t xml:space="preserve">Reports of abuse and/or neglect were received in 105 of the cases reviewed for the SFY 2019 QSPR.  Caseworkers initiated the investigations within the State mandated timeframes in 87 percent of these cases, an 11-percentage point increase from the SFY 2018 QSPR and an 18-percentage point increase from the Round 3 CFSR. While only Area 2 achieved substantial conformity (100%) </w:t>
      </w:r>
      <w:r w:rsidR="00357641">
        <w:rPr>
          <w:rFonts w:ascii="Cambria" w:hAnsi="Cambria"/>
          <w:sz w:val="24"/>
          <w:szCs w:val="24"/>
        </w:rPr>
        <w:t xml:space="preserve">for </w:t>
      </w:r>
      <w:r w:rsidRPr="00BB54D6">
        <w:rPr>
          <w:rFonts w:ascii="Cambria" w:hAnsi="Cambria"/>
          <w:sz w:val="24"/>
          <w:szCs w:val="24"/>
        </w:rPr>
        <w:t>th</w:t>
      </w:r>
      <w:r w:rsidR="00357641">
        <w:rPr>
          <w:rFonts w:ascii="Cambria" w:hAnsi="Cambria"/>
          <w:sz w:val="24"/>
          <w:szCs w:val="24"/>
        </w:rPr>
        <w:t>is</w:t>
      </w:r>
      <w:r w:rsidRPr="00BB54D6">
        <w:rPr>
          <w:rFonts w:ascii="Cambria" w:hAnsi="Cambria"/>
          <w:sz w:val="24"/>
          <w:szCs w:val="24"/>
        </w:rPr>
        <w:t xml:space="preserve"> measure during the SFY 2019 QSPR, the State continued the </w:t>
      </w:r>
      <w:r w:rsidR="00357641">
        <w:rPr>
          <w:rFonts w:ascii="Cambria" w:hAnsi="Cambria"/>
          <w:sz w:val="24"/>
          <w:szCs w:val="24"/>
        </w:rPr>
        <w:t xml:space="preserve">overall </w:t>
      </w:r>
      <w:r w:rsidRPr="00BB54D6">
        <w:rPr>
          <w:rFonts w:ascii="Cambria" w:hAnsi="Cambria"/>
          <w:sz w:val="24"/>
          <w:szCs w:val="24"/>
        </w:rPr>
        <w:t>trend of improved performance from the SFY 2018 QSPR and Round 3 CFSR with nine of ten service areas demonstrating improved performance on this safety measure.</w:t>
      </w:r>
      <w:r>
        <w:rPr>
          <w:rFonts w:ascii="Cambria" w:hAnsi="Cambria"/>
          <w:sz w:val="24"/>
          <w:szCs w:val="24"/>
        </w:rPr>
        <w:t xml:space="preserve"> </w:t>
      </w:r>
      <w:r w:rsidR="001B0CED">
        <w:rPr>
          <w:rFonts w:ascii="Cambria" w:hAnsi="Cambria"/>
          <w:sz w:val="24"/>
          <w:szCs w:val="24"/>
        </w:rPr>
        <w:t xml:space="preserve">Areas 1, 5, 8, and 10 all substantially improved </w:t>
      </w:r>
      <w:r w:rsidR="00F901A4">
        <w:rPr>
          <w:rFonts w:ascii="Cambria" w:hAnsi="Cambria"/>
          <w:sz w:val="24"/>
          <w:szCs w:val="24"/>
        </w:rPr>
        <w:t xml:space="preserve">their timeliness of initiating investigations </w:t>
      </w:r>
      <w:r w:rsidR="00205FDB">
        <w:rPr>
          <w:rFonts w:ascii="Cambria" w:hAnsi="Cambria"/>
          <w:sz w:val="24"/>
          <w:szCs w:val="24"/>
        </w:rPr>
        <w:t>from SFY 2018 and Round 3 CFSR</w:t>
      </w:r>
      <w:r w:rsidR="001E4796">
        <w:rPr>
          <w:rFonts w:ascii="Cambria" w:hAnsi="Cambria"/>
          <w:sz w:val="24"/>
          <w:szCs w:val="24"/>
        </w:rPr>
        <w:t xml:space="preserve"> </w:t>
      </w:r>
      <w:r w:rsidR="00357641">
        <w:rPr>
          <w:rFonts w:ascii="Cambria" w:hAnsi="Cambria"/>
          <w:sz w:val="24"/>
          <w:szCs w:val="24"/>
        </w:rPr>
        <w:t xml:space="preserve">with </w:t>
      </w:r>
      <w:r w:rsidR="001E4796">
        <w:rPr>
          <w:rFonts w:ascii="Cambria" w:hAnsi="Cambria"/>
          <w:sz w:val="24"/>
          <w:szCs w:val="24"/>
        </w:rPr>
        <w:t>all</w:t>
      </w:r>
      <w:r w:rsidR="00205FDB">
        <w:rPr>
          <w:rFonts w:ascii="Cambria" w:hAnsi="Cambria"/>
          <w:sz w:val="24"/>
          <w:szCs w:val="24"/>
        </w:rPr>
        <w:t xml:space="preserve"> </w:t>
      </w:r>
      <w:r w:rsidR="001E4796">
        <w:rPr>
          <w:rFonts w:ascii="Cambria" w:hAnsi="Cambria"/>
          <w:sz w:val="24"/>
          <w:szCs w:val="24"/>
        </w:rPr>
        <w:t xml:space="preserve">four </w:t>
      </w:r>
      <w:r w:rsidR="00205FDB">
        <w:rPr>
          <w:rFonts w:ascii="Cambria" w:hAnsi="Cambria"/>
          <w:sz w:val="24"/>
          <w:szCs w:val="24"/>
        </w:rPr>
        <w:t xml:space="preserve">Areas </w:t>
      </w:r>
      <w:r w:rsidR="001E4796">
        <w:rPr>
          <w:rFonts w:ascii="Cambria" w:hAnsi="Cambria"/>
          <w:sz w:val="24"/>
          <w:szCs w:val="24"/>
        </w:rPr>
        <w:t>ha</w:t>
      </w:r>
      <w:r w:rsidR="00357641">
        <w:rPr>
          <w:rFonts w:ascii="Cambria" w:hAnsi="Cambria"/>
          <w:sz w:val="24"/>
          <w:szCs w:val="24"/>
        </w:rPr>
        <w:t>ving</w:t>
      </w:r>
      <w:r w:rsidR="001E4796">
        <w:rPr>
          <w:rFonts w:ascii="Cambria" w:hAnsi="Cambria"/>
          <w:sz w:val="24"/>
          <w:szCs w:val="24"/>
        </w:rPr>
        <w:t xml:space="preserve"> a success rate of at least 90 percent. </w:t>
      </w:r>
      <w:r w:rsidR="00141367">
        <w:rPr>
          <w:rFonts w:ascii="Cambria" w:hAnsi="Cambria"/>
          <w:sz w:val="24"/>
          <w:szCs w:val="24"/>
        </w:rPr>
        <w:t xml:space="preserve">While </w:t>
      </w:r>
      <w:r w:rsidR="001B400E">
        <w:rPr>
          <w:rFonts w:ascii="Cambria" w:hAnsi="Cambria"/>
          <w:sz w:val="24"/>
          <w:szCs w:val="24"/>
        </w:rPr>
        <w:t xml:space="preserve">the four areas were not rated as a strength, as </w:t>
      </w:r>
      <w:r w:rsidR="000F30ED">
        <w:rPr>
          <w:rFonts w:ascii="Cambria" w:hAnsi="Cambria"/>
          <w:sz w:val="24"/>
          <w:szCs w:val="24"/>
        </w:rPr>
        <w:t xml:space="preserve">timeliness of initiating investigations </w:t>
      </w:r>
      <w:r w:rsidR="00030137">
        <w:rPr>
          <w:rFonts w:ascii="Cambria" w:hAnsi="Cambria"/>
          <w:sz w:val="24"/>
          <w:szCs w:val="24"/>
        </w:rPr>
        <w:t xml:space="preserve">(Item 1) </w:t>
      </w:r>
      <w:r w:rsidR="000F30ED">
        <w:rPr>
          <w:rFonts w:ascii="Cambria" w:hAnsi="Cambria"/>
          <w:sz w:val="24"/>
          <w:szCs w:val="24"/>
        </w:rPr>
        <w:t xml:space="preserve">requires a 95 percent rate in order to be rated as a strength, </w:t>
      </w:r>
      <w:r w:rsidR="00EA523B">
        <w:rPr>
          <w:rFonts w:ascii="Cambria" w:hAnsi="Cambria"/>
          <w:sz w:val="24"/>
          <w:szCs w:val="24"/>
        </w:rPr>
        <w:t xml:space="preserve">all four Areas showed substantial improved performances. </w:t>
      </w:r>
      <w:r w:rsidR="0069548A">
        <w:rPr>
          <w:rFonts w:ascii="Cambria" w:hAnsi="Cambria"/>
          <w:sz w:val="24"/>
          <w:szCs w:val="24"/>
        </w:rPr>
        <w:t xml:space="preserve">Positive practices included </w:t>
      </w:r>
      <w:r w:rsidR="00216AF1">
        <w:rPr>
          <w:rFonts w:ascii="Cambria" w:hAnsi="Cambria"/>
          <w:sz w:val="24"/>
          <w:szCs w:val="24"/>
        </w:rPr>
        <w:t xml:space="preserve">thoroughly documenting all attempts to initiate </w:t>
      </w:r>
      <w:r w:rsidR="0066246E">
        <w:rPr>
          <w:rFonts w:ascii="Cambria" w:hAnsi="Cambria"/>
          <w:sz w:val="24"/>
          <w:szCs w:val="24"/>
        </w:rPr>
        <w:t>timely investigations</w:t>
      </w:r>
      <w:r w:rsidR="00DE2250">
        <w:rPr>
          <w:rFonts w:ascii="Cambria" w:hAnsi="Cambria"/>
          <w:sz w:val="24"/>
          <w:szCs w:val="24"/>
        </w:rPr>
        <w:t>.</w:t>
      </w:r>
      <w:r w:rsidR="0066246E">
        <w:rPr>
          <w:rFonts w:ascii="Cambria" w:hAnsi="Cambria"/>
          <w:sz w:val="24"/>
          <w:szCs w:val="24"/>
        </w:rPr>
        <w:t xml:space="preserve"> </w:t>
      </w:r>
    </w:p>
    <w:p w14:paraId="1EF77625" w14:textId="77777777" w:rsidR="00D46594" w:rsidRPr="00BB54D6" w:rsidRDefault="00D46594" w:rsidP="00D46594">
      <w:pPr>
        <w:keepNext/>
        <w:spacing w:after="0" w:line="240" w:lineRule="auto"/>
        <w:ind w:left="360"/>
        <w:jc w:val="both"/>
        <w:rPr>
          <w:rFonts w:ascii="Cambria" w:hAnsi="Cambria"/>
          <w:sz w:val="24"/>
          <w:szCs w:val="24"/>
        </w:rPr>
      </w:pPr>
    </w:p>
    <w:p w14:paraId="167C3559" w14:textId="73AD6982" w:rsidR="00D46594" w:rsidRPr="00BB54D6" w:rsidRDefault="00D46594" w:rsidP="00D46594">
      <w:pPr>
        <w:keepNext/>
        <w:numPr>
          <w:ilvl w:val="0"/>
          <w:numId w:val="1"/>
        </w:numPr>
        <w:spacing w:after="0" w:line="240" w:lineRule="auto"/>
        <w:jc w:val="both"/>
        <w:rPr>
          <w:rFonts w:ascii="Cambria" w:hAnsi="Cambria"/>
          <w:sz w:val="24"/>
          <w:szCs w:val="24"/>
        </w:rPr>
      </w:pPr>
      <w:r w:rsidRPr="00BB54D6">
        <w:rPr>
          <w:rFonts w:ascii="Cambria" w:hAnsi="Cambria"/>
          <w:b/>
          <w:sz w:val="24"/>
          <w:szCs w:val="24"/>
        </w:rPr>
        <w:t>Risk and Safety Assessment and Management</w:t>
      </w:r>
      <w:r w:rsidR="00357641" w:rsidRPr="00BB54D6">
        <w:rPr>
          <w:rFonts w:ascii="Cambria" w:hAnsi="Cambria"/>
          <w:b/>
          <w:sz w:val="24"/>
          <w:szCs w:val="24"/>
        </w:rPr>
        <w:t xml:space="preserve"> – </w:t>
      </w:r>
      <w:r w:rsidRPr="00BB54D6">
        <w:rPr>
          <w:rFonts w:ascii="Cambria" w:hAnsi="Cambria"/>
          <w:sz w:val="24"/>
          <w:szCs w:val="24"/>
        </w:rPr>
        <w:t xml:space="preserve">Regardless of whether children remain in the family home or enter foster care, DCFS is required to assess and address risk and safety concerns for children receiving services.  During SFY 2019, sufficient efforts were made to assess and address </w:t>
      </w:r>
      <w:r w:rsidR="00357641">
        <w:rPr>
          <w:rFonts w:ascii="Cambria" w:hAnsi="Cambria"/>
          <w:sz w:val="24"/>
          <w:szCs w:val="24"/>
        </w:rPr>
        <w:t xml:space="preserve">the </w:t>
      </w:r>
      <w:r w:rsidRPr="00BB54D6">
        <w:rPr>
          <w:rFonts w:ascii="Cambria" w:hAnsi="Cambria"/>
          <w:sz w:val="24"/>
          <w:szCs w:val="24"/>
        </w:rPr>
        <w:t>risk and safety concerns for children receiving services</w:t>
      </w:r>
      <w:r w:rsidR="00030137">
        <w:rPr>
          <w:rFonts w:ascii="Cambria" w:hAnsi="Cambria"/>
          <w:sz w:val="24"/>
          <w:szCs w:val="24"/>
        </w:rPr>
        <w:t xml:space="preserve"> (Item 3)</w:t>
      </w:r>
      <w:r w:rsidRPr="00BB54D6">
        <w:rPr>
          <w:rFonts w:ascii="Cambria" w:hAnsi="Cambria"/>
          <w:sz w:val="24"/>
          <w:szCs w:val="24"/>
        </w:rPr>
        <w:t xml:space="preserve"> in the majority of the reviewed cases (83 percent). The deficient ratings once again stemmed from problems in conducting ongoing assessments of risk and safety and with safety management</w:t>
      </w:r>
      <w:r w:rsidR="00E761C3">
        <w:rPr>
          <w:rFonts w:ascii="Cambria" w:hAnsi="Cambria"/>
          <w:sz w:val="24"/>
          <w:szCs w:val="24"/>
        </w:rPr>
        <w:t>.</w:t>
      </w:r>
      <w:r w:rsidRPr="00BB54D6">
        <w:rPr>
          <w:rFonts w:ascii="Cambria" w:hAnsi="Cambria"/>
          <w:sz w:val="24"/>
          <w:szCs w:val="24"/>
        </w:rPr>
        <w:t xml:space="preserve"> Despite a 12-percentage point improvement in performance since the SFY 2018 QSPR and a 22-percentage point increase from the Round 3 of the CFSR, continued improvement is warranted.  Consistent with prior years’ reviews, identified concerns involved a lack of ongoing, informal assessments due to sparse caseworker visitation with families, typically </w:t>
      </w:r>
      <w:proofErr w:type="gramStart"/>
      <w:r w:rsidRPr="00BB54D6">
        <w:rPr>
          <w:rFonts w:ascii="Cambria" w:hAnsi="Cambria"/>
          <w:sz w:val="24"/>
          <w:szCs w:val="24"/>
        </w:rPr>
        <w:t xml:space="preserve">in </w:t>
      </w:r>
      <w:r w:rsidR="0012270B">
        <w:rPr>
          <w:rFonts w:ascii="Cambria" w:hAnsi="Cambria"/>
          <w:sz w:val="24"/>
          <w:szCs w:val="24"/>
        </w:rPr>
        <w:t>service</w:t>
      </w:r>
      <w:proofErr w:type="gramEnd"/>
      <w:r w:rsidR="0012270B">
        <w:rPr>
          <w:rFonts w:ascii="Cambria" w:hAnsi="Cambria"/>
          <w:sz w:val="24"/>
          <w:szCs w:val="24"/>
        </w:rPr>
        <w:t xml:space="preserve"> </w:t>
      </w:r>
      <w:r w:rsidRPr="00BB54D6">
        <w:rPr>
          <w:rFonts w:ascii="Cambria" w:hAnsi="Cambria"/>
          <w:sz w:val="24"/>
          <w:szCs w:val="24"/>
        </w:rPr>
        <w:t xml:space="preserve">areas with significant staff turnover. In </w:t>
      </w:r>
      <w:r w:rsidR="0012270B">
        <w:rPr>
          <w:rFonts w:ascii="Cambria" w:hAnsi="Cambria"/>
          <w:sz w:val="24"/>
          <w:szCs w:val="24"/>
        </w:rPr>
        <w:t>cases involving</w:t>
      </w:r>
      <w:r w:rsidR="0012270B" w:rsidRPr="00BB54D6">
        <w:rPr>
          <w:rFonts w:ascii="Cambria" w:hAnsi="Cambria"/>
          <w:sz w:val="24"/>
          <w:szCs w:val="24"/>
        </w:rPr>
        <w:t xml:space="preserve"> </w:t>
      </w:r>
      <w:r w:rsidRPr="00BB54D6">
        <w:rPr>
          <w:rFonts w:ascii="Cambria" w:hAnsi="Cambria"/>
          <w:sz w:val="24"/>
          <w:szCs w:val="24"/>
        </w:rPr>
        <w:t>deficiencies</w:t>
      </w:r>
      <w:r w:rsidR="0012270B">
        <w:rPr>
          <w:rFonts w:ascii="Cambria" w:hAnsi="Cambria"/>
          <w:sz w:val="24"/>
          <w:szCs w:val="24"/>
        </w:rPr>
        <w:t xml:space="preserve"> in case practice</w:t>
      </w:r>
      <w:r w:rsidRPr="00BB54D6">
        <w:rPr>
          <w:rFonts w:ascii="Cambria" w:hAnsi="Cambria"/>
          <w:sz w:val="24"/>
          <w:szCs w:val="24"/>
        </w:rPr>
        <w:t>, caseworkers simply were not in the homes enough and therefore could not adequately assess risk and safety concerns.  Such deficiencies were evidenced in both foster care and in-home cases with risk assessments and safety management occurring infrequently, regardless of</w:t>
      </w:r>
      <w:r w:rsidR="0012270B">
        <w:rPr>
          <w:rFonts w:ascii="Cambria" w:hAnsi="Cambria"/>
          <w:sz w:val="24"/>
          <w:szCs w:val="24"/>
        </w:rPr>
        <w:t xml:space="preserve"> the children’s</w:t>
      </w:r>
      <w:r w:rsidRPr="00BB54D6">
        <w:rPr>
          <w:rFonts w:ascii="Cambria" w:hAnsi="Cambria"/>
          <w:sz w:val="24"/>
          <w:szCs w:val="24"/>
        </w:rPr>
        <w:t xml:space="preserve"> placement.  Visits occurred only a few times with lengthy periods between visits in some instances. </w:t>
      </w:r>
    </w:p>
    <w:p w14:paraId="36174AE2" w14:textId="77777777" w:rsidR="00D46594" w:rsidRPr="00BB54D6" w:rsidRDefault="00D46594" w:rsidP="00D46594">
      <w:pPr>
        <w:keepNext/>
        <w:spacing w:after="0" w:line="240" w:lineRule="auto"/>
        <w:jc w:val="both"/>
        <w:rPr>
          <w:rFonts w:ascii="Cambria" w:hAnsi="Cambria"/>
          <w:sz w:val="24"/>
          <w:szCs w:val="24"/>
        </w:rPr>
      </w:pPr>
    </w:p>
    <w:p w14:paraId="36A098BE" w14:textId="30ED8BAB" w:rsidR="00D46594" w:rsidRDefault="00D46594" w:rsidP="00B74BB8">
      <w:pPr>
        <w:spacing w:before="240" w:after="0" w:line="240" w:lineRule="auto"/>
        <w:jc w:val="both"/>
        <w:rPr>
          <w:rFonts w:ascii="Cambria" w:hAnsi="Cambria"/>
          <w:sz w:val="24"/>
          <w:szCs w:val="24"/>
        </w:rPr>
      </w:pPr>
      <w:r w:rsidRPr="00BB54D6">
        <w:rPr>
          <w:rFonts w:ascii="Cambria" w:hAnsi="Cambria"/>
          <w:sz w:val="24"/>
          <w:szCs w:val="24"/>
        </w:rPr>
        <w:t>While Arkansas has continued to demonstrate improved performance on both</w:t>
      </w:r>
      <w:r w:rsidR="00B74BB8">
        <w:rPr>
          <w:rFonts w:ascii="Cambria" w:hAnsi="Cambria"/>
          <w:sz w:val="24"/>
          <w:szCs w:val="24"/>
        </w:rPr>
        <w:t xml:space="preserve"> </w:t>
      </w:r>
      <w:r w:rsidR="0012270B">
        <w:rPr>
          <w:rFonts w:ascii="Cambria" w:hAnsi="Cambria"/>
          <w:sz w:val="24"/>
          <w:szCs w:val="24"/>
        </w:rPr>
        <w:t>safety outcomes</w:t>
      </w:r>
      <w:r w:rsidRPr="00BB54D6">
        <w:rPr>
          <w:rFonts w:ascii="Cambria" w:hAnsi="Cambria"/>
          <w:sz w:val="24"/>
          <w:szCs w:val="24"/>
        </w:rPr>
        <w:t>, the state has yet to achieve substantial conformity for either.  Areas 1, 5, 8 and 10 were all nearing strength on timeliness of initiating investigations, with all achieving at least 90 percent conformity. Areas 3 and 6 also showed promise, achieving at least an 85 percent conformity rating for reviewed cases</w:t>
      </w:r>
      <w:r w:rsidR="0012270B">
        <w:rPr>
          <w:rFonts w:ascii="Cambria" w:hAnsi="Cambria"/>
          <w:sz w:val="24"/>
          <w:szCs w:val="24"/>
        </w:rPr>
        <w:t xml:space="preserve"> for this item</w:t>
      </w:r>
      <w:r w:rsidRPr="00BB54D6">
        <w:rPr>
          <w:rFonts w:ascii="Cambria" w:hAnsi="Cambria"/>
          <w:sz w:val="24"/>
          <w:szCs w:val="24"/>
        </w:rPr>
        <w:t xml:space="preserve">. Area 9 showed a decrease of 5 percentage points from SFY 2018 and also had the lowest conformity rating (78 percent). </w:t>
      </w:r>
    </w:p>
    <w:p w14:paraId="62DC565F" w14:textId="77777777" w:rsidR="00672112" w:rsidRDefault="00672112" w:rsidP="00D46594">
      <w:pPr>
        <w:spacing w:after="0" w:line="240" w:lineRule="auto"/>
        <w:jc w:val="both"/>
        <w:rPr>
          <w:rFonts w:ascii="Cambria" w:hAnsi="Cambria"/>
          <w:sz w:val="24"/>
          <w:szCs w:val="24"/>
        </w:rPr>
      </w:pPr>
    </w:p>
    <w:p w14:paraId="6319289C" w14:textId="2982B23C" w:rsidR="0012270B" w:rsidRDefault="00D46594" w:rsidP="00D46594">
      <w:pPr>
        <w:spacing w:after="0" w:line="240" w:lineRule="auto"/>
        <w:jc w:val="both"/>
        <w:rPr>
          <w:rFonts w:ascii="Cambria" w:hAnsi="Cambria"/>
          <w:sz w:val="24"/>
          <w:szCs w:val="24"/>
        </w:rPr>
      </w:pPr>
      <w:r w:rsidRPr="00BB54D6">
        <w:rPr>
          <w:rFonts w:ascii="Cambria" w:hAnsi="Cambria"/>
          <w:sz w:val="24"/>
          <w:szCs w:val="24"/>
        </w:rPr>
        <w:t xml:space="preserve">Seven out of ten </w:t>
      </w:r>
      <w:r w:rsidR="0012270B">
        <w:rPr>
          <w:rFonts w:ascii="Cambria" w:hAnsi="Cambria"/>
          <w:sz w:val="24"/>
          <w:szCs w:val="24"/>
        </w:rPr>
        <w:t>service a</w:t>
      </w:r>
      <w:r w:rsidRPr="00BB54D6">
        <w:rPr>
          <w:rFonts w:ascii="Cambria" w:hAnsi="Cambria"/>
          <w:sz w:val="24"/>
          <w:szCs w:val="24"/>
        </w:rPr>
        <w:t>reas were wholly successful in providing services to prevent removal (3</w:t>
      </w:r>
      <w:r>
        <w:rPr>
          <w:rFonts w:ascii="Cambria" w:hAnsi="Cambria"/>
          <w:sz w:val="24"/>
          <w:szCs w:val="24"/>
        </w:rPr>
        <w:t xml:space="preserve"> through </w:t>
      </w:r>
      <w:r w:rsidRPr="00BB54D6">
        <w:rPr>
          <w:rFonts w:ascii="Cambria" w:hAnsi="Cambria"/>
          <w:sz w:val="24"/>
          <w:szCs w:val="24"/>
        </w:rPr>
        <w:t>8 and 10).  Area 2 struggled the most</w:t>
      </w:r>
      <w:r w:rsidR="0012270B">
        <w:rPr>
          <w:rFonts w:ascii="Cambria" w:hAnsi="Cambria"/>
          <w:sz w:val="24"/>
          <w:szCs w:val="24"/>
        </w:rPr>
        <w:t xml:space="preserve"> for this item</w:t>
      </w:r>
      <w:r w:rsidRPr="00BB54D6">
        <w:rPr>
          <w:rFonts w:ascii="Cambria" w:hAnsi="Cambria"/>
          <w:sz w:val="24"/>
          <w:szCs w:val="24"/>
        </w:rPr>
        <w:t xml:space="preserve">, dropping </w:t>
      </w:r>
      <w:r w:rsidR="0012270B">
        <w:rPr>
          <w:rFonts w:ascii="Cambria" w:hAnsi="Cambria"/>
          <w:sz w:val="24"/>
          <w:szCs w:val="24"/>
        </w:rPr>
        <w:t xml:space="preserve">by </w:t>
      </w:r>
      <w:r w:rsidRPr="00BB54D6">
        <w:rPr>
          <w:rFonts w:ascii="Cambria" w:hAnsi="Cambria"/>
          <w:sz w:val="24"/>
          <w:szCs w:val="24"/>
        </w:rPr>
        <w:t>20 percentage points from SFY 2018</w:t>
      </w:r>
      <w:r w:rsidR="002870C0">
        <w:rPr>
          <w:rFonts w:ascii="Cambria" w:hAnsi="Cambria"/>
          <w:sz w:val="24"/>
          <w:szCs w:val="24"/>
        </w:rPr>
        <w:t xml:space="preserve">, </w:t>
      </w:r>
      <w:r w:rsidR="0012270B">
        <w:rPr>
          <w:rFonts w:ascii="Cambria" w:hAnsi="Cambria"/>
          <w:sz w:val="24"/>
          <w:szCs w:val="24"/>
        </w:rPr>
        <w:t xml:space="preserve">going </w:t>
      </w:r>
      <w:r w:rsidR="002870C0">
        <w:rPr>
          <w:rFonts w:ascii="Cambria" w:hAnsi="Cambria"/>
          <w:sz w:val="24"/>
          <w:szCs w:val="24"/>
        </w:rPr>
        <w:t>from</w:t>
      </w:r>
      <w:r w:rsidR="0012270B">
        <w:rPr>
          <w:rFonts w:ascii="Cambria" w:hAnsi="Cambria"/>
          <w:sz w:val="24"/>
          <w:szCs w:val="24"/>
        </w:rPr>
        <w:t xml:space="preserve"> being</w:t>
      </w:r>
      <w:r w:rsidR="002870C0">
        <w:rPr>
          <w:rFonts w:ascii="Cambria" w:hAnsi="Cambria"/>
          <w:sz w:val="24"/>
          <w:szCs w:val="24"/>
        </w:rPr>
        <w:t xml:space="preserve"> wholly successful to </w:t>
      </w:r>
      <w:r w:rsidR="0012270B">
        <w:rPr>
          <w:rFonts w:ascii="Cambria" w:hAnsi="Cambria"/>
          <w:sz w:val="24"/>
          <w:szCs w:val="24"/>
        </w:rPr>
        <w:t xml:space="preserve">having a success rate of </w:t>
      </w:r>
      <w:r w:rsidR="002870C0">
        <w:rPr>
          <w:rFonts w:ascii="Cambria" w:hAnsi="Cambria"/>
          <w:sz w:val="24"/>
          <w:szCs w:val="24"/>
        </w:rPr>
        <w:t xml:space="preserve">80 percent. </w:t>
      </w:r>
    </w:p>
    <w:p w14:paraId="1591DAB3" w14:textId="77777777" w:rsidR="0012270B" w:rsidRDefault="0012270B" w:rsidP="00D46594">
      <w:pPr>
        <w:spacing w:after="0" w:line="240" w:lineRule="auto"/>
        <w:jc w:val="both"/>
        <w:rPr>
          <w:rFonts w:ascii="Cambria" w:hAnsi="Cambria"/>
          <w:sz w:val="24"/>
          <w:szCs w:val="24"/>
        </w:rPr>
      </w:pPr>
    </w:p>
    <w:p w14:paraId="16C6E856" w14:textId="5737DFCF" w:rsidR="00201795" w:rsidRPr="00D46594" w:rsidRDefault="00D46594" w:rsidP="00D46594">
      <w:pPr>
        <w:spacing w:after="0" w:line="240" w:lineRule="auto"/>
        <w:jc w:val="both"/>
        <w:rPr>
          <w:rFonts w:ascii="Cambria" w:hAnsi="Cambria"/>
          <w:sz w:val="24"/>
          <w:szCs w:val="24"/>
        </w:rPr>
      </w:pPr>
      <w:r w:rsidRPr="00BB54D6">
        <w:rPr>
          <w:rFonts w:ascii="Cambria" w:hAnsi="Cambria"/>
          <w:sz w:val="24"/>
          <w:szCs w:val="24"/>
        </w:rPr>
        <w:t xml:space="preserve">Areas 4 and 10 exhibited the strongest performance on the risk and safety assessment and management measure, with 18 of the 20 reviewed cases (90 percent) achieving a rating of Strength in each of those service areas.  Areas 2, 3, 5, 6 and 8 showed promise in this area of practice with 85 percent of the reviewed cases in each of these areas being in conformity.  Area 7 struggled the most with slightly less than two-thirds of the reviewed cases (65 percent) achieving a rating of Strength.  Area 9 was the only area to show a decrease in improvement from SFY 2018. </w:t>
      </w:r>
    </w:p>
    <w:p w14:paraId="67CBD6EC" w14:textId="77777777" w:rsidR="00201795" w:rsidRDefault="00201795" w:rsidP="00201795">
      <w:pPr>
        <w:spacing w:after="0" w:line="240" w:lineRule="auto"/>
        <w:ind w:left="360"/>
        <w:jc w:val="both"/>
        <w:rPr>
          <w:rFonts w:asciiTheme="majorHAnsi" w:hAnsiTheme="majorHAnsi"/>
          <w:sz w:val="24"/>
          <w:szCs w:val="24"/>
        </w:rPr>
      </w:pPr>
    </w:p>
    <w:p w14:paraId="18C94514" w14:textId="45BB04C6" w:rsidR="00112F32" w:rsidRPr="00D069AE" w:rsidRDefault="00AE338D" w:rsidP="00D069AE">
      <w:pPr>
        <w:pBdr>
          <w:bottom w:val="single" w:sz="12" w:space="1" w:color="auto"/>
        </w:pBdr>
        <w:tabs>
          <w:tab w:val="left" w:pos="2010"/>
        </w:tabs>
        <w:spacing w:after="0" w:line="240" w:lineRule="auto"/>
        <w:rPr>
          <w:rFonts w:asciiTheme="majorHAnsi" w:hAnsiTheme="majorHAnsi"/>
          <w:b/>
          <w:smallCaps/>
          <w:sz w:val="28"/>
          <w:szCs w:val="28"/>
        </w:rPr>
      </w:pPr>
      <w:r>
        <w:rPr>
          <w:rFonts w:asciiTheme="majorHAnsi" w:hAnsiTheme="majorHAnsi"/>
          <w:sz w:val="24"/>
          <w:szCs w:val="24"/>
        </w:rPr>
        <w:br w:type="page"/>
      </w:r>
      <w:r w:rsidR="00C9595E" w:rsidRPr="00934946">
        <w:rPr>
          <w:rFonts w:asciiTheme="majorHAnsi" w:hAnsiTheme="majorHAnsi"/>
          <w:b/>
          <w:smallCaps/>
          <w:sz w:val="28"/>
          <w:szCs w:val="28"/>
        </w:rPr>
        <w:t>Permanency</w:t>
      </w:r>
      <w:r w:rsidR="00D069AE">
        <w:rPr>
          <w:rFonts w:asciiTheme="majorHAnsi" w:hAnsiTheme="majorHAnsi"/>
          <w:b/>
          <w:smallCaps/>
          <w:sz w:val="28"/>
          <w:szCs w:val="28"/>
        </w:rPr>
        <w:tab/>
      </w:r>
    </w:p>
    <w:p w14:paraId="2A2E25F6" w14:textId="77777777" w:rsidR="0031511E" w:rsidRDefault="0031511E" w:rsidP="0031511E">
      <w:pPr>
        <w:spacing w:after="0" w:line="240" w:lineRule="auto"/>
        <w:jc w:val="both"/>
        <w:rPr>
          <w:rFonts w:asciiTheme="majorHAnsi" w:hAnsiTheme="majorHAnsi"/>
          <w:sz w:val="24"/>
          <w:szCs w:val="24"/>
        </w:rPr>
      </w:pPr>
    </w:p>
    <w:p w14:paraId="477328F5" w14:textId="2676CDFF" w:rsidR="0031511E" w:rsidRDefault="0031511E" w:rsidP="0031511E">
      <w:pPr>
        <w:spacing w:after="0" w:line="240" w:lineRule="auto"/>
        <w:jc w:val="both"/>
        <w:rPr>
          <w:rFonts w:asciiTheme="majorHAnsi" w:hAnsiTheme="majorHAnsi"/>
          <w:sz w:val="24"/>
          <w:szCs w:val="24"/>
        </w:rPr>
      </w:pPr>
      <w:r w:rsidRPr="00581FC1">
        <w:rPr>
          <w:rFonts w:asciiTheme="majorHAnsi" w:hAnsiTheme="majorHAnsi"/>
          <w:sz w:val="24"/>
          <w:szCs w:val="24"/>
        </w:rPr>
        <w:t>Childr</w:t>
      </w:r>
      <w:r>
        <w:rPr>
          <w:rFonts w:asciiTheme="majorHAnsi" w:hAnsiTheme="majorHAnsi"/>
          <w:sz w:val="24"/>
          <w:szCs w:val="24"/>
        </w:rPr>
        <w:t xml:space="preserve">en are entitled to permanency, i.e., </w:t>
      </w:r>
      <w:r w:rsidR="00755BED">
        <w:rPr>
          <w:rFonts w:asciiTheme="majorHAnsi" w:hAnsiTheme="majorHAnsi"/>
          <w:sz w:val="24"/>
          <w:szCs w:val="24"/>
        </w:rPr>
        <w:t xml:space="preserve">live </w:t>
      </w:r>
      <w:r w:rsidR="00C21E9B">
        <w:rPr>
          <w:rFonts w:asciiTheme="majorHAnsi" w:hAnsiTheme="majorHAnsi"/>
          <w:sz w:val="24"/>
          <w:szCs w:val="24"/>
        </w:rPr>
        <w:t>with a</w:t>
      </w:r>
      <w:r>
        <w:rPr>
          <w:rFonts w:asciiTheme="majorHAnsi" w:hAnsiTheme="majorHAnsi"/>
          <w:sz w:val="24"/>
          <w:szCs w:val="24"/>
        </w:rPr>
        <w:t xml:space="preserve"> </w:t>
      </w:r>
      <w:r w:rsidRPr="00581FC1">
        <w:rPr>
          <w:rFonts w:asciiTheme="majorHAnsi" w:hAnsiTheme="majorHAnsi"/>
          <w:sz w:val="24"/>
          <w:szCs w:val="24"/>
        </w:rPr>
        <w:t>legally permanent famil</w:t>
      </w:r>
      <w:r w:rsidR="00C21E9B">
        <w:rPr>
          <w:rFonts w:asciiTheme="majorHAnsi" w:hAnsiTheme="majorHAnsi"/>
          <w:sz w:val="24"/>
          <w:szCs w:val="24"/>
        </w:rPr>
        <w:t>y</w:t>
      </w:r>
      <w:r w:rsidRPr="00581FC1">
        <w:rPr>
          <w:rFonts w:asciiTheme="majorHAnsi" w:hAnsiTheme="majorHAnsi"/>
          <w:sz w:val="24"/>
          <w:szCs w:val="24"/>
        </w:rPr>
        <w:t xml:space="preserve"> wh</w:t>
      </w:r>
      <w:r w:rsidR="00C21E9B">
        <w:rPr>
          <w:rFonts w:asciiTheme="majorHAnsi" w:hAnsiTheme="majorHAnsi"/>
          <w:sz w:val="24"/>
          <w:szCs w:val="24"/>
        </w:rPr>
        <w:t>ich</w:t>
      </w:r>
      <w:r w:rsidRPr="00581FC1">
        <w:rPr>
          <w:rFonts w:asciiTheme="majorHAnsi" w:hAnsiTheme="majorHAnsi"/>
          <w:sz w:val="24"/>
          <w:szCs w:val="24"/>
        </w:rPr>
        <w:t xml:space="preserve"> can meet their basic needs</w:t>
      </w:r>
      <w:r>
        <w:rPr>
          <w:rFonts w:asciiTheme="majorHAnsi" w:hAnsiTheme="majorHAnsi"/>
          <w:sz w:val="24"/>
          <w:szCs w:val="24"/>
        </w:rPr>
        <w:t xml:space="preserve"> as well as </w:t>
      </w:r>
      <w:r w:rsidR="00C21E9B">
        <w:rPr>
          <w:rFonts w:asciiTheme="majorHAnsi" w:hAnsiTheme="majorHAnsi"/>
          <w:sz w:val="24"/>
          <w:szCs w:val="24"/>
        </w:rPr>
        <w:t>hav</w:t>
      </w:r>
      <w:r w:rsidR="00755BED">
        <w:rPr>
          <w:rFonts w:asciiTheme="majorHAnsi" w:hAnsiTheme="majorHAnsi"/>
          <w:sz w:val="24"/>
          <w:szCs w:val="24"/>
        </w:rPr>
        <w:t>e</w:t>
      </w:r>
      <w:r w:rsidR="00C21E9B">
        <w:rPr>
          <w:rFonts w:asciiTheme="majorHAnsi" w:hAnsiTheme="majorHAnsi"/>
          <w:sz w:val="24"/>
          <w:szCs w:val="24"/>
        </w:rPr>
        <w:t xml:space="preserve"> </w:t>
      </w:r>
      <w:r>
        <w:rPr>
          <w:rFonts w:asciiTheme="majorHAnsi" w:hAnsiTheme="majorHAnsi"/>
          <w:sz w:val="24"/>
          <w:szCs w:val="24"/>
        </w:rPr>
        <w:t>relational permanence</w:t>
      </w:r>
      <w:r w:rsidRPr="00581FC1">
        <w:rPr>
          <w:rFonts w:asciiTheme="majorHAnsi" w:hAnsiTheme="majorHAnsi"/>
          <w:sz w:val="24"/>
          <w:szCs w:val="24"/>
        </w:rPr>
        <w:t xml:space="preserve">.  </w:t>
      </w:r>
      <w:r w:rsidRPr="00581FC1">
        <w:rPr>
          <w:rFonts w:asciiTheme="majorHAnsi" w:hAnsiTheme="majorHAnsi"/>
          <w:sz w:val="24"/>
          <w:szCs w:val="24"/>
          <w:lang w:val="en"/>
        </w:rPr>
        <w:t>When children must be removed from their families to ensure their safety</w:t>
      </w:r>
      <w:r w:rsidRPr="00581FC1">
        <w:rPr>
          <w:rFonts w:asciiTheme="majorHAnsi" w:hAnsiTheme="majorHAnsi"/>
          <w:sz w:val="24"/>
          <w:szCs w:val="24"/>
        </w:rPr>
        <w:t xml:space="preserve">, permanency planning should guide </w:t>
      </w:r>
      <w:r w:rsidR="00755BED">
        <w:rPr>
          <w:rFonts w:asciiTheme="majorHAnsi" w:hAnsiTheme="majorHAnsi"/>
          <w:sz w:val="24"/>
          <w:szCs w:val="24"/>
        </w:rPr>
        <w:t xml:space="preserve">the </w:t>
      </w:r>
      <w:r w:rsidRPr="00581FC1">
        <w:rPr>
          <w:rFonts w:asciiTheme="majorHAnsi" w:hAnsiTheme="majorHAnsi"/>
          <w:sz w:val="24"/>
          <w:szCs w:val="24"/>
        </w:rPr>
        <w:t xml:space="preserve">interventions </w:t>
      </w:r>
      <w:r w:rsidR="00755BED">
        <w:rPr>
          <w:rFonts w:asciiTheme="majorHAnsi" w:hAnsiTheme="majorHAnsi"/>
          <w:sz w:val="24"/>
          <w:szCs w:val="24"/>
        </w:rPr>
        <w:t>to enable</w:t>
      </w:r>
      <w:r w:rsidR="00755BED" w:rsidRPr="00581FC1">
        <w:rPr>
          <w:rFonts w:asciiTheme="majorHAnsi" w:hAnsiTheme="majorHAnsi"/>
          <w:sz w:val="24"/>
          <w:szCs w:val="24"/>
        </w:rPr>
        <w:t xml:space="preserve"> </w:t>
      </w:r>
      <w:r w:rsidRPr="00581FC1">
        <w:rPr>
          <w:rFonts w:asciiTheme="majorHAnsi" w:hAnsiTheme="majorHAnsi"/>
          <w:sz w:val="24"/>
          <w:szCs w:val="24"/>
        </w:rPr>
        <w:t xml:space="preserve">children to </w:t>
      </w:r>
      <w:r w:rsidR="00755BED">
        <w:rPr>
          <w:rFonts w:asciiTheme="majorHAnsi" w:hAnsiTheme="majorHAnsi"/>
          <w:sz w:val="24"/>
          <w:szCs w:val="24"/>
        </w:rPr>
        <w:t xml:space="preserve">return to </w:t>
      </w:r>
      <w:r w:rsidRPr="00581FC1">
        <w:rPr>
          <w:rFonts w:asciiTheme="majorHAnsi" w:hAnsiTheme="majorHAnsi"/>
          <w:sz w:val="24"/>
          <w:szCs w:val="24"/>
        </w:rPr>
        <w:t xml:space="preserve">their families of origin </w:t>
      </w:r>
      <w:r>
        <w:rPr>
          <w:rFonts w:asciiTheme="majorHAnsi" w:hAnsiTheme="majorHAnsi"/>
          <w:sz w:val="24"/>
          <w:szCs w:val="24"/>
        </w:rPr>
        <w:t xml:space="preserve">as soon as is safely possible </w:t>
      </w:r>
      <w:r w:rsidRPr="00581FC1">
        <w:rPr>
          <w:rFonts w:asciiTheme="majorHAnsi" w:hAnsiTheme="majorHAnsi"/>
          <w:sz w:val="24"/>
          <w:szCs w:val="24"/>
        </w:rPr>
        <w:t xml:space="preserve">or </w:t>
      </w:r>
      <w:r>
        <w:rPr>
          <w:rFonts w:asciiTheme="majorHAnsi" w:hAnsiTheme="majorHAnsi"/>
          <w:sz w:val="24"/>
          <w:szCs w:val="24"/>
        </w:rPr>
        <w:t xml:space="preserve">to </w:t>
      </w:r>
      <w:r w:rsidRPr="00581FC1">
        <w:rPr>
          <w:rFonts w:asciiTheme="majorHAnsi" w:hAnsiTheme="majorHAnsi"/>
          <w:sz w:val="24"/>
          <w:szCs w:val="24"/>
        </w:rPr>
        <w:t xml:space="preserve">other nurturing, legally permanent families when return home is not possible.  </w:t>
      </w:r>
      <w:r>
        <w:rPr>
          <w:rFonts w:asciiTheme="majorHAnsi" w:hAnsiTheme="majorHAnsi"/>
          <w:sz w:val="24"/>
          <w:szCs w:val="24"/>
        </w:rPr>
        <w:t xml:space="preserve">While children are in foster care, the child welfare system must work to support and maintain their relationships with family and friends and their connections to their community, faith and culture.  </w:t>
      </w:r>
    </w:p>
    <w:p w14:paraId="27F709A2" w14:textId="77777777" w:rsidR="0031511E" w:rsidRDefault="0031511E" w:rsidP="0031511E">
      <w:pPr>
        <w:spacing w:after="0" w:line="240" w:lineRule="auto"/>
        <w:jc w:val="both"/>
        <w:rPr>
          <w:rFonts w:asciiTheme="majorHAnsi" w:hAnsiTheme="majorHAnsi"/>
          <w:sz w:val="24"/>
          <w:szCs w:val="24"/>
        </w:rPr>
      </w:pPr>
    </w:p>
    <w:p w14:paraId="53B51446" w14:textId="568782D4" w:rsidR="00021791" w:rsidRDefault="00ED40B8" w:rsidP="0031511E">
      <w:pPr>
        <w:spacing w:after="0" w:line="240" w:lineRule="auto"/>
        <w:jc w:val="both"/>
        <w:rPr>
          <w:rFonts w:ascii="Cambria" w:hAnsi="Cambria" w:cs="Arial"/>
          <w:sz w:val="24"/>
          <w:szCs w:val="24"/>
        </w:rPr>
      </w:pPr>
      <w:r w:rsidRPr="00ED40B8">
        <w:rPr>
          <w:rFonts w:ascii="Cambria" w:hAnsi="Cambria" w:cs="Arial"/>
          <w:sz w:val="24"/>
          <w:szCs w:val="24"/>
        </w:rPr>
        <w:t>The SFY 201</w:t>
      </w:r>
      <w:r w:rsidR="00F2259E">
        <w:rPr>
          <w:rFonts w:ascii="Cambria" w:hAnsi="Cambria" w:cs="Arial"/>
          <w:sz w:val="24"/>
          <w:szCs w:val="24"/>
        </w:rPr>
        <w:t>9</w:t>
      </w:r>
      <w:r w:rsidR="0031511E" w:rsidRPr="00ED40B8">
        <w:rPr>
          <w:rFonts w:ascii="Cambria" w:hAnsi="Cambria" w:cs="Arial"/>
          <w:sz w:val="24"/>
          <w:szCs w:val="24"/>
        </w:rPr>
        <w:t xml:space="preserve"> QSPR</w:t>
      </w:r>
      <w:r w:rsidR="00F2259E">
        <w:rPr>
          <w:rFonts w:ascii="Cambria" w:hAnsi="Cambria" w:cs="Arial"/>
          <w:sz w:val="24"/>
          <w:szCs w:val="24"/>
        </w:rPr>
        <w:t xml:space="preserve"> demonstrated </w:t>
      </w:r>
      <w:r w:rsidR="0031511E" w:rsidRPr="00ED40B8">
        <w:rPr>
          <w:rFonts w:ascii="Cambria" w:hAnsi="Cambria" w:cs="Arial"/>
          <w:sz w:val="24"/>
          <w:szCs w:val="24"/>
        </w:rPr>
        <w:t xml:space="preserve">strength in practice </w:t>
      </w:r>
      <w:r w:rsidR="00311416">
        <w:rPr>
          <w:rFonts w:ascii="Cambria" w:hAnsi="Cambria" w:cs="Arial"/>
          <w:sz w:val="24"/>
          <w:szCs w:val="24"/>
        </w:rPr>
        <w:t xml:space="preserve">for </w:t>
      </w:r>
      <w:r w:rsidR="00755BED">
        <w:rPr>
          <w:rFonts w:ascii="Cambria" w:hAnsi="Cambria" w:cs="Arial"/>
          <w:sz w:val="24"/>
          <w:szCs w:val="24"/>
        </w:rPr>
        <w:t xml:space="preserve">one </w:t>
      </w:r>
      <w:r w:rsidR="00311416">
        <w:rPr>
          <w:rFonts w:ascii="Cambria" w:hAnsi="Cambria" w:cs="Arial"/>
          <w:sz w:val="24"/>
          <w:szCs w:val="24"/>
        </w:rPr>
        <w:t xml:space="preserve">permanency measure, with Arkansas successfully making efforts to place children in care with relatives when appropriate in 94 percent of the reviewed cases.  The </w:t>
      </w:r>
      <w:r w:rsidR="0031511E" w:rsidRPr="00ED40B8">
        <w:rPr>
          <w:rFonts w:ascii="Cambria" w:hAnsi="Cambria" w:cs="Arial"/>
          <w:sz w:val="24"/>
          <w:szCs w:val="24"/>
        </w:rPr>
        <w:t>Division demonstrate</w:t>
      </w:r>
      <w:r w:rsidR="00311416">
        <w:rPr>
          <w:rFonts w:ascii="Cambria" w:hAnsi="Cambria" w:cs="Arial"/>
          <w:sz w:val="24"/>
          <w:szCs w:val="24"/>
        </w:rPr>
        <w:t>d</w:t>
      </w:r>
      <w:r w:rsidR="0031511E" w:rsidRPr="00ED40B8">
        <w:rPr>
          <w:rFonts w:ascii="Cambria" w:hAnsi="Cambria" w:cs="Arial"/>
          <w:sz w:val="24"/>
          <w:szCs w:val="24"/>
        </w:rPr>
        <w:t xml:space="preserve"> a </w:t>
      </w:r>
      <w:r w:rsidR="00534077">
        <w:rPr>
          <w:rFonts w:ascii="Cambria" w:hAnsi="Cambria" w:cs="Arial"/>
          <w:sz w:val="24"/>
          <w:szCs w:val="24"/>
        </w:rPr>
        <w:t>37-percentage</w:t>
      </w:r>
      <w:r w:rsidR="0031511E" w:rsidRPr="00ED40B8">
        <w:rPr>
          <w:rFonts w:ascii="Cambria" w:hAnsi="Cambria" w:cs="Arial"/>
          <w:sz w:val="24"/>
          <w:szCs w:val="24"/>
        </w:rPr>
        <w:t xml:space="preserve"> point increase on</w:t>
      </w:r>
      <w:r w:rsidR="00693CDC" w:rsidRPr="00693CDC">
        <w:t xml:space="preserve"> </w:t>
      </w:r>
      <w:r w:rsidR="004E271C" w:rsidRPr="00693CDC">
        <w:rPr>
          <w:rFonts w:ascii="Cambria" w:hAnsi="Cambria" w:cs="Arial"/>
          <w:sz w:val="24"/>
          <w:szCs w:val="24"/>
        </w:rPr>
        <w:t>the</w:t>
      </w:r>
      <w:r w:rsidR="00693CDC" w:rsidRPr="00693CDC">
        <w:rPr>
          <w:rFonts w:ascii="Cambria" w:hAnsi="Cambria" w:cs="Arial"/>
          <w:sz w:val="24"/>
          <w:szCs w:val="24"/>
        </w:rPr>
        <w:t xml:space="preserve"> continuity of family relationships and connections </w:t>
      </w:r>
      <w:r w:rsidR="00755BED">
        <w:rPr>
          <w:rFonts w:ascii="Cambria" w:hAnsi="Cambria" w:cs="Arial"/>
          <w:sz w:val="24"/>
          <w:szCs w:val="24"/>
        </w:rPr>
        <w:t>being</w:t>
      </w:r>
      <w:r w:rsidR="00755BED" w:rsidRPr="00693CDC">
        <w:rPr>
          <w:rFonts w:ascii="Cambria" w:hAnsi="Cambria" w:cs="Arial"/>
          <w:sz w:val="24"/>
          <w:szCs w:val="24"/>
        </w:rPr>
        <w:t xml:space="preserve"> </w:t>
      </w:r>
      <w:r w:rsidR="00693CDC" w:rsidRPr="00693CDC">
        <w:rPr>
          <w:rFonts w:ascii="Cambria" w:hAnsi="Cambria" w:cs="Arial"/>
          <w:sz w:val="24"/>
          <w:szCs w:val="24"/>
        </w:rPr>
        <w:t>preserved for children</w:t>
      </w:r>
      <w:r w:rsidR="0031511E" w:rsidRPr="00ED40B8">
        <w:rPr>
          <w:rFonts w:ascii="Cambria" w:hAnsi="Cambria" w:cs="Arial"/>
          <w:sz w:val="24"/>
          <w:szCs w:val="24"/>
        </w:rPr>
        <w:t xml:space="preserve"> </w:t>
      </w:r>
      <w:r w:rsidR="00693CDC">
        <w:rPr>
          <w:rFonts w:ascii="Cambria" w:hAnsi="Cambria" w:cs="Arial"/>
          <w:sz w:val="24"/>
          <w:szCs w:val="24"/>
        </w:rPr>
        <w:t>(</w:t>
      </w:r>
      <w:r w:rsidR="0031511E" w:rsidRPr="00ED40B8">
        <w:rPr>
          <w:rFonts w:ascii="Cambria" w:hAnsi="Cambria" w:cs="Arial"/>
          <w:sz w:val="24"/>
          <w:szCs w:val="24"/>
        </w:rPr>
        <w:t>Permanency Outcome 2</w:t>
      </w:r>
      <w:r w:rsidR="00693CDC">
        <w:rPr>
          <w:rFonts w:ascii="Cambria" w:hAnsi="Cambria" w:cs="Arial"/>
          <w:sz w:val="24"/>
          <w:szCs w:val="24"/>
        </w:rPr>
        <w:t>)</w:t>
      </w:r>
      <w:r w:rsidR="0031511E" w:rsidRPr="00ED40B8">
        <w:rPr>
          <w:rFonts w:ascii="Cambria" w:hAnsi="Cambria" w:cs="Arial"/>
          <w:sz w:val="24"/>
          <w:szCs w:val="24"/>
        </w:rPr>
        <w:t xml:space="preserve"> over the Round 3 CFSR, which </w:t>
      </w:r>
      <w:r w:rsidR="00755BED">
        <w:rPr>
          <w:rFonts w:ascii="Cambria" w:hAnsi="Cambria" w:cs="Arial"/>
          <w:sz w:val="24"/>
          <w:szCs w:val="24"/>
        </w:rPr>
        <w:t>represents</w:t>
      </w:r>
      <w:r w:rsidR="0031511E" w:rsidRPr="00ED40B8">
        <w:rPr>
          <w:rFonts w:ascii="Cambria" w:hAnsi="Cambria" w:cs="Arial"/>
          <w:sz w:val="24"/>
          <w:szCs w:val="24"/>
        </w:rPr>
        <w:t xml:space="preserve"> a </w:t>
      </w:r>
      <w:r w:rsidR="00534077">
        <w:rPr>
          <w:rFonts w:ascii="Cambria" w:hAnsi="Cambria" w:cs="Arial"/>
          <w:sz w:val="24"/>
          <w:szCs w:val="24"/>
        </w:rPr>
        <w:t>15-percentage</w:t>
      </w:r>
      <w:r w:rsidR="0031511E" w:rsidRPr="00ED40B8">
        <w:rPr>
          <w:rFonts w:ascii="Cambria" w:hAnsi="Cambria" w:cs="Arial"/>
          <w:sz w:val="24"/>
          <w:szCs w:val="24"/>
        </w:rPr>
        <w:t xml:space="preserve"> point increase from </w:t>
      </w:r>
      <w:r w:rsidR="00755BED">
        <w:rPr>
          <w:rFonts w:ascii="Cambria" w:hAnsi="Cambria" w:cs="Arial"/>
          <w:sz w:val="24"/>
          <w:szCs w:val="24"/>
        </w:rPr>
        <w:t xml:space="preserve">the </w:t>
      </w:r>
      <w:r w:rsidR="0031511E" w:rsidRPr="00ED40B8">
        <w:rPr>
          <w:rFonts w:ascii="Cambria" w:hAnsi="Cambria" w:cs="Arial"/>
          <w:sz w:val="24"/>
          <w:szCs w:val="24"/>
        </w:rPr>
        <w:t>SFY 20</w:t>
      </w:r>
      <w:r w:rsidRPr="00ED40B8">
        <w:rPr>
          <w:rFonts w:ascii="Cambria" w:hAnsi="Cambria" w:cs="Arial"/>
          <w:sz w:val="24"/>
          <w:szCs w:val="24"/>
        </w:rPr>
        <w:t>1</w:t>
      </w:r>
      <w:r w:rsidR="00311416">
        <w:rPr>
          <w:rFonts w:ascii="Cambria" w:hAnsi="Cambria" w:cs="Arial"/>
          <w:sz w:val="24"/>
          <w:szCs w:val="24"/>
        </w:rPr>
        <w:t>8 QSPR</w:t>
      </w:r>
      <w:r w:rsidR="0031511E" w:rsidRPr="00ED40B8">
        <w:rPr>
          <w:rFonts w:ascii="Cambria" w:hAnsi="Cambria" w:cs="Arial"/>
          <w:sz w:val="24"/>
          <w:szCs w:val="24"/>
        </w:rPr>
        <w:t>.</w:t>
      </w:r>
      <w:r w:rsidR="00534077">
        <w:rPr>
          <w:rFonts w:ascii="Cambria" w:hAnsi="Cambria" w:cs="Arial"/>
          <w:sz w:val="24"/>
          <w:szCs w:val="24"/>
        </w:rPr>
        <w:t xml:space="preserve"> </w:t>
      </w:r>
      <w:r>
        <w:rPr>
          <w:rFonts w:ascii="Cambria" w:hAnsi="Cambria" w:cs="Arial"/>
          <w:sz w:val="24"/>
          <w:szCs w:val="24"/>
        </w:rPr>
        <w:t xml:space="preserve">Despite not </w:t>
      </w:r>
      <w:r w:rsidR="00311416">
        <w:rPr>
          <w:rFonts w:ascii="Cambria" w:hAnsi="Cambria" w:cs="Arial"/>
          <w:sz w:val="24"/>
          <w:szCs w:val="24"/>
        </w:rPr>
        <w:t xml:space="preserve">achieving substantial conformity on either </w:t>
      </w:r>
      <w:r w:rsidR="004E271C">
        <w:rPr>
          <w:rFonts w:ascii="Cambria" w:hAnsi="Cambria" w:cs="Arial"/>
          <w:sz w:val="24"/>
          <w:szCs w:val="24"/>
        </w:rPr>
        <w:t>c</w:t>
      </w:r>
      <w:r w:rsidR="004E271C" w:rsidRPr="004E271C">
        <w:rPr>
          <w:rFonts w:ascii="Cambria" w:hAnsi="Cambria" w:cs="Arial"/>
          <w:sz w:val="24"/>
          <w:szCs w:val="24"/>
        </w:rPr>
        <w:t xml:space="preserve">hildren have permanency and stability in their living situations </w:t>
      </w:r>
      <w:r w:rsidR="004E271C">
        <w:rPr>
          <w:rFonts w:ascii="Cambria" w:hAnsi="Cambria" w:cs="Arial"/>
          <w:sz w:val="24"/>
          <w:szCs w:val="24"/>
        </w:rPr>
        <w:t>(</w:t>
      </w:r>
      <w:r w:rsidR="00311416">
        <w:rPr>
          <w:rFonts w:ascii="Cambria" w:hAnsi="Cambria" w:cs="Arial"/>
          <w:sz w:val="24"/>
          <w:szCs w:val="24"/>
        </w:rPr>
        <w:t>Permanency Outcome 1</w:t>
      </w:r>
      <w:r w:rsidR="004E271C">
        <w:rPr>
          <w:rFonts w:ascii="Cambria" w:hAnsi="Cambria" w:cs="Arial"/>
          <w:sz w:val="24"/>
          <w:szCs w:val="24"/>
        </w:rPr>
        <w:t>)</w:t>
      </w:r>
      <w:r w:rsidR="00311416">
        <w:rPr>
          <w:rFonts w:ascii="Cambria" w:hAnsi="Cambria" w:cs="Arial"/>
          <w:sz w:val="24"/>
          <w:szCs w:val="24"/>
        </w:rPr>
        <w:t xml:space="preserve"> or </w:t>
      </w:r>
      <w:r w:rsidR="004E271C">
        <w:rPr>
          <w:rFonts w:ascii="Cambria" w:hAnsi="Cambria" w:cs="Arial"/>
          <w:sz w:val="24"/>
          <w:szCs w:val="24"/>
        </w:rPr>
        <w:t>t</w:t>
      </w:r>
      <w:r w:rsidR="004E271C" w:rsidRPr="004E271C">
        <w:rPr>
          <w:rFonts w:ascii="Cambria" w:hAnsi="Cambria" w:cs="Arial"/>
          <w:sz w:val="24"/>
          <w:szCs w:val="24"/>
        </w:rPr>
        <w:t xml:space="preserve">he continuity of family relationships and connections </w:t>
      </w:r>
      <w:r w:rsidR="00755BED">
        <w:rPr>
          <w:rFonts w:ascii="Cambria" w:hAnsi="Cambria" w:cs="Arial"/>
          <w:sz w:val="24"/>
          <w:szCs w:val="24"/>
        </w:rPr>
        <w:t>being</w:t>
      </w:r>
      <w:r w:rsidR="00755BED" w:rsidRPr="004E271C">
        <w:rPr>
          <w:rFonts w:ascii="Cambria" w:hAnsi="Cambria" w:cs="Arial"/>
          <w:sz w:val="24"/>
          <w:szCs w:val="24"/>
        </w:rPr>
        <w:t xml:space="preserve"> </w:t>
      </w:r>
      <w:r w:rsidR="004E271C" w:rsidRPr="004E271C">
        <w:rPr>
          <w:rFonts w:ascii="Cambria" w:hAnsi="Cambria" w:cs="Arial"/>
          <w:sz w:val="24"/>
          <w:szCs w:val="24"/>
        </w:rPr>
        <w:t xml:space="preserve">preserved for children </w:t>
      </w:r>
      <w:r w:rsidR="004E271C">
        <w:rPr>
          <w:rFonts w:ascii="Cambria" w:hAnsi="Cambria" w:cs="Arial"/>
          <w:sz w:val="24"/>
          <w:szCs w:val="24"/>
        </w:rPr>
        <w:t>(</w:t>
      </w:r>
      <w:r w:rsidR="00311416">
        <w:rPr>
          <w:rFonts w:ascii="Cambria" w:hAnsi="Cambria" w:cs="Arial"/>
          <w:sz w:val="24"/>
          <w:szCs w:val="24"/>
        </w:rPr>
        <w:t>Permanency Outcome 2</w:t>
      </w:r>
      <w:r w:rsidR="004E271C">
        <w:rPr>
          <w:rFonts w:ascii="Cambria" w:hAnsi="Cambria" w:cs="Arial"/>
          <w:sz w:val="24"/>
          <w:szCs w:val="24"/>
        </w:rPr>
        <w:t>)</w:t>
      </w:r>
      <w:r w:rsidR="000C277A">
        <w:rPr>
          <w:rFonts w:ascii="Cambria" w:hAnsi="Cambria" w:cs="Arial"/>
          <w:sz w:val="24"/>
          <w:szCs w:val="24"/>
        </w:rPr>
        <w:t xml:space="preserve"> during the SFY 201</w:t>
      </w:r>
      <w:r w:rsidR="00E551AB">
        <w:rPr>
          <w:rFonts w:ascii="Cambria" w:hAnsi="Cambria" w:cs="Arial"/>
          <w:sz w:val="24"/>
          <w:szCs w:val="24"/>
        </w:rPr>
        <w:t>9</w:t>
      </w:r>
      <w:r w:rsidR="000C277A">
        <w:rPr>
          <w:rFonts w:ascii="Cambria" w:hAnsi="Cambria" w:cs="Arial"/>
          <w:sz w:val="24"/>
          <w:szCs w:val="24"/>
        </w:rPr>
        <w:t xml:space="preserve"> QSPR</w:t>
      </w:r>
      <w:r>
        <w:rPr>
          <w:rFonts w:ascii="Cambria" w:hAnsi="Cambria" w:cs="Arial"/>
          <w:sz w:val="24"/>
          <w:szCs w:val="24"/>
        </w:rPr>
        <w:t xml:space="preserve">, </w:t>
      </w:r>
      <w:r w:rsidR="000C277A">
        <w:rPr>
          <w:rFonts w:ascii="Cambria" w:hAnsi="Cambria" w:cs="Arial"/>
          <w:sz w:val="24"/>
          <w:szCs w:val="24"/>
        </w:rPr>
        <w:t xml:space="preserve">the Agency made improvements on all </w:t>
      </w:r>
      <w:r w:rsidR="00E551AB">
        <w:rPr>
          <w:rFonts w:ascii="Cambria" w:hAnsi="Cambria" w:cs="Arial"/>
          <w:sz w:val="24"/>
          <w:szCs w:val="24"/>
        </w:rPr>
        <w:t>permanency item</w:t>
      </w:r>
      <w:r w:rsidR="000C277A">
        <w:rPr>
          <w:rFonts w:ascii="Cambria" w:hAnsi="Cambria" w:cs="Arial"/>
          <w:sz w:val="24"/>
          <w:szCs w:val="24"/>
        </w:rPr>
        <w:t xml:space="preserve"> measure</w:t>
      </w:r>
      <w:r w:rsidR="00E551AB">
        <w:rPr>
          <w:rFonts w:ascii="Cambria" w:hAnsi="Cambria" w:cs="Arial"/>
          <w:sz w:val="24"/>
          <w:szCs w:val="24"/>
        </w:rPr>
        <w:t>s</w:t>
      </w:r>
      <w:r w:rsidR="000C277A">
        <w:rPr>
          <w:rFonts w:ascii="Cambria" w:hAnsi="Cambria" w:cs="Arial"/>
          <w:sz w:val="24"/>
          <w:szCs w:val="24"/>
        </w:rPr>
        <w:t xml:space="preserve"> since the Round 3 CFSR and on </w:t>
      </w:r>
      <w:r w:rsidR="00E551AB">
        <w:rPr>
          <w:rFonts w:ascii="Cambria" w:hAnsi="Cambria" w:cs="Arial"/>
          <w:sz w:val="24"/>
          <w:szCs w:val="24"/>
        </w:rPr>
        <w:t xml:space="preserve">all but two </w:t>
      </w:r>
      <w:r w:rsidR="000C277A">
        <w:rPr>
          <w:rFonts w:ascii="Cambria" w:hAnsi="Cambria" w:cs="Arial"/>
          <w:sz w:val="24"/>
          <w:szCs w:val="24"/>
        </w:rPr>
        <w:t>of the measures since the SFY 201</w:t>
      </w:r>
      <w:r w:rsidR="00E551AB">
        <w:rPr>
          <w:rFonts w:ascii="Cambria" w:hAnsi="Cambria" w:cs="Arial"/>
          <w:sz w:val="24"/>
          <w:szCs w:val="24"/>
        </w:rPr>
        <w:t>8</w:t>
      </w:r>
      <w:r w:rsidR="000C277A">
        <w:rPr>
          <w:rFonts w:ascii="Cambria" w:hAnsi="Cambria" w:cs="Arial"/>
          <w:sz w:val="24"/>
          <w:szCs w:val="24"/>
        </w:rPr>
        <w:t xml:space="preserve"> QSPR. </w:t>
      </w:r>
      <w:r w:rsidR="009D334A">
        <w:rPr>
          <w:rFonts w:ascii="Cambria" w:hAnsi="Cambria" w:cs="Arial"/>
          <w:sz w:val="24"/>
          <w:szCs w:val="24"/>
        </w:rPr>
        <w:t>The Agency struggled the most with promoting parent-child relationships beyond providing visits</w:t>
      </w:r>
      <w:r w:rsidR="00E551AB">
        <w:rPr>
          <w:rFonts w:ascii="Cambria" w:hAnsi="Cambria" w:cs="Arial"/>
          <w:sz w:val="24"/>
          <w:szCs w:val="24"/>
        </w:rPr>
        <w:t xml:space="preserve"> (Item 11), and had some difficulty with providing children in care with placement stability (Item 4) and preserving their important connections while in care (Item 9); these three items are closely related and often similarly impacted when children are placed away from their home counties</w:t>
      </w:r>
      <w:r w:rsidR="009D334A">
        <w:rPr>
          <w:rFonts w:ascii="Cambria" w:hAnsi="Cambria" w:cs="Arial"/>
          <w:sz w:val="24"/>
          <w:szCs w:val="24"/>
        </w:rPr>
        <w:t>.</w:t>
      </w:r>
      <w:r w:rsidR="0031511E">
        <w:rPr>
          <w:rFonts w:ascii="Cambria" w:hAnsi="Cambria" w:cs="Arial"/>
          <w:sz w:val="24"/>
          <w:szCs w:val="24"/>
        </w:rPr>
        <w:t xml:space="preserve">  </w:t>
      </w:r>
    </w:p>
    <w:p w14:paraId="6712CB3F" w14:textId="77777777" w:rsidR="000A3DE7" w:rsidRPr="000A3DE7" w:rsidRDefault="000A3DE7" w:rsidP="0031511E">
      <w:pPr>
        <w:spacing w:after="0" w:line="240" w:lineRule="auto"/>
        <w:jc w:val="both"/>
        <w:rPr>
          <w:rFonts w:ascii="Cambria" w:hAnsi="Cambria" w:cs="Arial"/>
          <w:sz w:val="24"/>
          <w:szCs w:val="24"/>
        </w:rPr>
      </w:pPr>
    </w:p>
    <w:p w14:paraId="73808EA9" w14:textId="77777777" w:rsidR="0031511E" w:rsidRDefault="0031511E" w:rsidP="0031511E">
      <w:pPr>
        <w:spacing w:after="0" w:line="240" w:lineRule="auto"/>
        <w:jc w:val="both"/>
        <w:rPr>
          <w:rFonts w:ascii="Arial" w:hAnsi="Arial" w:cs="Arial"/>
          <w:smallCaps/>
          <w:sz w:val="24"/>
          <w:szCs w:val="24"/>
        </w:rPr>
      </w:pPr>
    </w:p>
    <w:tbl>
      <w:tblPr>
        <w:tblW w:w="11110" w:type="dxa"/>
        <w:jc w:val="center"/>
        <w:tblLook w:val="04A0" w:firstRow="1" w:lastRow="0" w:firstColumn="1" w:lastColumn="0" w:noHBand="0" w:noVBand="1"/>
      </w:tblPr>
      <w:tblGrid>
        <w:gridCol w:w="7950"/>
        <w:gridCol w:w="1064"/>
        <w:gridCol w:w="1064"/>
        <w:gridCol w:w="1032"/>
      </w:tblGrid>
      <w:tr w:rsidR="0031511E" w:rsidRPr="00050E79" w14:paraId="3183B736" w14:textId="77777777" w:rsidTr="008F7826">
        <w:trPr>
          <w:trHeight w:val="338"/>
          <w:tblHeader/>
          <w:jc w:val="center"/>
        </w:trPr>
        <w:tc>
          <w:tcPr>
            <w:tcW w:w="11110" w:type="dxa"/>
            <w:gridSpan w:val="4"/>
            <w:tcBorders>
              <w:top w:val="single" w:sz="8" w:space="0" w:color="auto"/>
              <w:left w:val="single" w:sz="8" w:space="0" w:color="auto"/>
              <w:bottom w:val="single" w:sz="4" w:space="0" w:color="FFFFFF"/>
            </w:tcBorders>
            <w:shd w:val="clear" w:color="000000" w:fill="215967"/>
            <w:noWrap/>
            <w:vAlign w:val="center"/>
            <w:hideMark/>
          </w:tcPr>
          <w:p w14:paraId="25EDDEA9" w14:textId="77777777" w:rsidR="0031511E" w:rsidRPr="00050E79" w:rsidRDefault="0031511E" w:rsidP="003F05F4">
            <w:pPr>
              <w:spacing w:after="0" w:line="240" w:lineRule="auto"/>
              <w:jc w:val="center"/>
              <w:rPr>
                <w:rFonts w:ascii="Cambria" w:eastAsia="Times New Roman" w:hAnsi="Cambria" w:cs="Arial"/>
                <w:b/>
                <w:bCs/>
                <w:color w:val="FFFFFF"/>
                <w:sz w:val="24"/>
                <w:szCs w:val="24"/>
              </w:rPr>
            </w:pPr>
            <w:r w:rsidRPr="00050E79">
              <w:rPr>
                <w:rFonts w:ascii="Cambria" w:eastAsia="Times New Roman" w:hAnsi="Cambria" w:cs="Arial"/>
                <w:b/>
                <w:bCs/>
                <w:color w:val="FFFFFF"/>
                <w:sz w:val="24"/>
                <w:szCs w:val="24"/>
              </w:rPr>
              <w:t>Table 2: Permanency Outcomes 1 and 2</w:t>
            </w:r>
          </w:p>
        </w:tc>
      </w:tr>
      <w:tr w:rsidR="0031511E" w:rsidRPr="00050E79" w14:paraId="29096417" w14:textId="77777777" w:rsidTr="008F7826">
        <w:trPr>
          <w:trHeight w:val="338"/>
          <w:tblHeader/>
          <w:jc w:val="center"/>
        </w:trPr>
        <w:tc>
          <w:tcPr>
            <w:tcW w:w="7950" w:type="dxa"/>
            <w:tcBorders>
              <w:top w:val="nil"/>
              <w:left w:val="single" w:sz="8" w:space="0" w:color="auto"/>
              <w:bottom w:val="single" w:sz="4" w:space="0" w:color="FFFFFF"/>
              <w:right w:val="single" w:sz="4" w:space="0" w:color="FFFFFF"/>
            </w:tcBorders>
            <w:shd w:val="clear" w:color="000000" w:fill="215967"/>
            <w:noWrap/>
            <w:vAlign w:val="center"/>
            <w:hideMark/>
          </w:tcPr>
          <w:p w14:paraId="251866D7" w14:textId="77777777" w:rsidR="0031511E" w:rsidRPr="00050E79" w:rsidRDefault="0031511E" w:rsidP="003F05F4">
            <w:pPr>
              <w:spacing w:after="0" w:line="240" w:lineRule="auto"/>
              <w:jc w:val="center"/>
              <w:rPr>
                <w:rFonts w:ascii="Cambria" w:eastAsia="Times New Roman" w:hAnsi="Cambria" w:cs="Arial"/>
                <w:i/>
                <w:iCs/>
                <w:color w:val="FFFFFF"/>
                <w:sz w:val="24"/>
                <w:szCs w:val="24"/>
              </w:rPr>
            </w:pPr>
            <w:r w:rsidRPr="00050E79">
              <w:rPr>
                <w:rFonts w:ascii="Cambria" w:eastAsia="Times New Roman" w:hAnsi="Cambria" w:cs="Arial"/>
                <w:i/>
                <w:iCs/>
                <w:color w:val="FFFFFF"/>
                <w:sz w:val="24"/>
                <w:szCs w:val="24"/>
              </w:rPr>
              <w:t> </w:t>
            </w:r>
          </w:p>
        </w:tc>
        <w:tc>
          <w:tcPr>
            <w:tcW w:w="1064" w:type="dxa"/>
            <w:tcBorders>
              <w:top w:val="nil"/>
              <w:left w:val="nil"/>
              <w:bottom w:val="single" w:sz="4" w:space="0" w:color="FFFFFF"/>
              <w:right w:val="single" w:sz="8" w:space="0" w:color="auto"/>
            </w:tcBorders>
            <w:shd w:val="clear" w:color="000000" w:fill="215967"/>
            <w:vAlign w:val="center"/>
            <w:hideMark/>
          </w:tcPr>
          <w:p w14:paraId="342DFFE0" w14:textId="755F1F3D" w:rsidR="0031511E" w:rsidRPr="00486FCF" w:rsidRDefault="0031511E" w:rsidP="003F05F4">
            <w:pPr>
              <w:spacing w:after="0" w:line="240" w:lineRule="auto"/>
              <w:jc w:val="center"/>
              <w:rPr>
                <w:rFonts w:asciiTheme="majorHAnsi" w:eastAsia="Times New Roman" w:hAnsiTheme="majorHAnsi" w:cs="Arial"/>
                <w:b/>
                <w:bCs/>
                <w:i/>
                <w:iCs/>
                <w:color w:val="FFFFFF"/>
                <w:sz w:val="24"/>
                <w:szCs w:val="24"/>
              </w:rPr>
            </w:pPr>
            <w:r>
              <w:rPr>
                <w:rFonts w:asciiTheme="majorHAnsi" w:eastAsia="Times New Roman" w:hAnsiTheme="majorHAnsi" w:cs="Arial"/>
                <w:b/>
                <w:bCs/>
                <w:i/>
                <w:iCs/>
                <w:color w:val="FFFFFF"/>
                <w:sz w:val="24"/>
                <w:szCs w:val="24"/>
              </w:rPr>
              <w:t>SFY 201</w:t>
            </w:r>
            <w:r w:rsidR="00311416">
              <w:rPr>
                <w:rFonts w:asciiTheme="majorHAnsi" w:eastAsia="Times New Roman" w:hAnsiTheme="majorHAnsi" w:cs="Arial"/>
                <w:b/>
                <w:bCs/>
                <w:i/>
                <w:iCs/>
                <w:color w:val="FFFFFF"/>
                <w:sz w:val="24"/>
                <w:szCs w:val="24"/>
              </w:rPr>
              <w:t>9</w:t>
            </w:r>
          </w:p>
          <w:p w14:paraId="63BE0FEF" w14:textId="77777777" w:rsidR="0031511E" w:rsidRPr="00050E79" w:rsidRDefault="0031511E" w:rsidP="003F05F4">
            <w:pPr>
              <w:spacing w:after="0" w:line="240" w:lineRule="auto"/>
              <w:jc w:val="center"/>
              <w:rPr>
                <w:rFonts w:ascii="Cambria" w:eastAsia="Times New Roman" w:hAnsi="Cambria" w:cs="Arial"/>
                <w:b/>
                <w:bCs/>
                <w:i/>
                <w:iCs/>
                <w:color w:val="FFFFFF"/>
                <w:sz w:val="24"/>
                <w:szCs w:val="24"/>
              </w:rPr>
            </w:pPr>
            <w:r w:rsidRPr="00486FCF">
              <w:rPr>
                <w:rFonts w:asciiTheme="majorHAnsi" w:eastAsia="Times New Roman" w:hAnsiTheme="majorHAnsi" w:cs="Arial"/>
                <w:b/>
                <w:bCs/>
                <w:i/>
                <w:iCs/>
                <w:color w:val="FFFFFF"/>
                <w:sz w:val="24"/>
                <w:szCs w:val="24"/>
              </w:rPr>
              <w:t>QSPR</w:t>
            </w:r>
          </w:p>
        </w:tc>
        <w:tc>
          <w:tcPr>
            <w:tcW w:w="1064" w:type="dxa"/>
            <w:tcBorders>
              <w:top w:val="nil"/>
              <w:left w:val="nil"/>
              <w:bottom w:val="single" w:sz="4" w:space="0" w:color="FFFFFF"/>
              <w:right w:val="single" w:sz="8" w:space="0" w:color="auto"/>
            </w:tcBorders>
            <w:shd w:val="clear" w:color="000000" w:fill="215967"/>
            <w:vAlign w:val="center"/>
          </w:tcPr>
          <w:p w14:paraId="45688A5A" w14:textId="5D3E6DA8" w:rsidR="0031511E" w:rsidRPr="0031511E" w:rsidRDefault="0031511E" w:rsidP="0031511E">
            <w:pPr>
              <w:spacing w:after="0" w:line="240" w:lineRule="auto"/>
              <w:jc w:val="center"/>
              <w:rPr>
                <w:rFonts w:ascii="Cambria" w:eastAsia="Times New Roman" w:hAnsi="Cambria" w:cs="Arial"/>
                <w:b/>
                <w:bCs/>
                <w:i/>
                <w:iCs/>
                <w:color w:val="FFFFFF"/>
                <w:sz w:val="24"/>
                <w:szCs w:val="24"/>
              </w:rPr>
            </w:pPr>
            <w:r w:rsidRPr="0031511E">
              <w:rPr>
                <w:rFonts w:ascii="Cambria" w:eastAsia="Times New Roman" w:hAnsi="Cambria" w:cs="Arial"/>
                <w:b/>
                <w:bCs/>
                <w:i/>
                <w:iCs/>
                <w:color w:val="FFFFFF"/>
                <w:sz w:val="24"/>
                <w:szCs w:val="24"/>
              </w:rPr>
              <w:t>SFY 201</w:t>
            </w:r>
            <w:r w:rsidR="00311416">
              <w:rPr>
                <w:rFonts w:ascii="Cambria" w:eastAsia="Times New Roman" w:hAnsi="Cambria" w:cs="Arial"/>
                <w:b/>
                <w:bCs/>
                <w:i/>
                <w:iCs/>
                <w:color w:val="FFFFFF"/>
                <w:sz w:val="24"/>
                <w:szCs w:val="24"/>
              </w:rPr>
              <w:t>8</w:t>
            </w:r>
          </w:p>
          <w:p w14:paraId="0D7642AE" w14:textId="56907011" w:rsidR="0031511E" w:rsidRPr="00050E79" w:rsidRDefault="0031511E" w:rsidP="0031511E">
            <w:pPr>
              <w:spacing w:after="0" w:line="240" w:lineRule="auto"/>
              <w:jc w:val="center"/>
              <w:rPr>
                <w:rFonts w:ascii="Cambria" w:eastAsia="Times New Roman" w:hAnsi="Cambria" w:cs="Arial"/>
                <w:b/>
                <w:bCs/>
                <w:i/>
                <w:iCs/>
                <w:color w:val="FFFFFF"/>
                <w:sz w:val="24"/>
                <w:szCs w:val="24"/>
              </w:rPr>
            </w:pPr>
            <w:r w:rsidRPr="0031511E">
              <w:rPr>
                <w:rFonts w:ascii="Cambria" w:eastAsia="Times New Roman" w:hAnsi="Cambria" w:cs="Arial"/>
                <w:b/>
                <w:bCs/>
                <w:i/>
                <w:iCs/>
                <w:color w:val="FFFFFF"/>
                <w:sz w:val="24"/>
                <w:szCs w:val="24"/>
              </w:rPr>
              <w:t>QSPR</w:t>
            </w:r>
          </w:p>
        </w:tc>
        <w:tc>
          <w:tcPr>
            <w:tcW w:w="1032" w:type="dxa"/>
            <w:tcBorders>
              <w:top w:val="nil"/>
              <w:left w:val="nil"/>
              <w:bottom w:val="single" w:sz="4" w:space="0" w:color="FFFFFF"/>
              <w:right w:val="single" w:sz="8" w:space="0" w:color="auto"/>
            </w:tcBorders>
            <w:shd w:val="clear" w:color="000000" w:fill="215967"/>
          </w:tcPr>
          <w:p w14:paraId="0CE8D48C" w14:textId="78E24C2B" w:rsidR="0031511E" w:rsidRPr="00486FCF" w:rsidRDefault="0031511E" w:rsidP="003F05F4">
            <w:pPr>
              <w:spacing w:after="0" w:line="240" w:lineRule="auto"/>
              <w:jc w:val="center"/>
              <w:rPr>
                <w:rFonts w:asciiTheme="majorHAnsi" w:eastAsia="Times New Roman" w:hAnsiTheme="majorHAnsi" w:cs="Arial"/>
                <w:b/>
                <w:bCs/>
                <w:i/>
                <w:iCs/>
                <w:color w:val="FFFFFF"/>
                <w:sz w:val="24"/>
                <w:szCs w:val="24"/>
              </w:rPr>
            </w:pPr>
            <w:r>
              <w:rPr>
                <w:rFonts w:asciiTheme="majorHAnsi" w:eastAsia="Times New Roman" w:hAnsiTheme="majorHAnsi" w:cs="Arial"/>
                <w:b/>
                <w:bCs/>
                <w:i/>
                <w:iCs/>
                <w:color w:val="FFFFFF"/>
                <w:sz w:val="24"/>
                <w:szCs w:val="24"/>
              </w:rPr>
              <w:t>Round 3</w:t>
            </w:r>
          </w:p>
          <w:p w14:paraId="5B2EAF56" w14:textId="0239BB82" w:rsidR="0031511E" w:rsidRPr="00050E79" w:rsidRDefault="0031511E" w:rsidP="003F05F4">
            <w:pPr>
              <w:spacing w:after="0" w:line="240" w:lineRule="auto"/>
              <w:jc w:val="center"/>
              <w:rPr>
                <w:rFonts w:ascii="Cambria" w:eastAsia="Times New Roman" w:hAnsi="Cambria" w:cs="Arial"/>
                <w:b/>
                <w:bCs/>
                <w:i/>
                <w:iCs/>
                <w:color w:val="FFFFFF"/>
                <w:sz w:val="24"/>
                <w:szCs w:val="24"/>
              </w:rPr>
            </w:pPr>
            <w:r>
              <w:rPr>
                <w:rFonts w:asciiTheme="majorHAnsi" w:eastAsia="Times New Roman" w:hAnsiTheme="majorHAnsi" w:cs="Arial"/>
                <w:b/>
                <w:bCs/>
                <w:i/>
                <w:iCs/>
                <w:color w:val="FFFFFF"/>
                <w:sz w:val="24"/>
                <w:szCs w:val="24"/>
              </w:rPr>
              <w:t>CFSR</w:t>
            </w:r>
          </w:p>
        </w:tc>
      </w:tr>
      <w:tr w:rsidR="0041336D" w:rsidRPr="00050E79" w14:paraId="77B84C76" w14:textId="77777777" w:rsidTr="0031511E">
        <w:trPr>
          <w:trHeight w:val="610"/>
          <w:jc w:val="center"/>
        </w:trPr>
        <w:tc>
          <w:tcPr>
            <w:tcW w:w="7950" w:type="dxa"/>
            <w:tcBorders>
              <w:top w:val="nil"/>
              <w:left w:val="single" w:sz="8" w:space="0" w:color="auto"/>
              <w:bottom w:val="single" w:sz="4" w:space="0" w:color="auto"/>
              <w:right w:val="single" w:sz="4" w:space="0" w:color="FFFFFF"/>
            </w:tcBorders>
            <w:shd w:val="clear" w:color="000000" w:fill="215967"/>
            <w:vAlign w:val="center"/>
            <w:hideMark/>
          </w:tcPr>
          <w:p w14:paraId="685184C5" w14:textId="78DB51A1" w:rsidR="0041336D" w:rsidRPr="00050E79" w:rsidRDefault="0041336D" w:rsidP="003F05F4">
            <w:pPr>
              <w:spacing w:after="0" w:line="240" w:lineRule="auto"/>
              <w:rPr>
                <w:rFonts w:ascii="Cambria" w:eastAsia="Times New Roman" w:hAnsi="Cambria" w:cs="Arial"/>
                <w:b/>
                <w:bCs/>
                <w:color w:val="FFFFFF"/>
                <w:sz w:val="24"/>
                <w:szCs w:val="24"/>
              </w:rPr>
            </w:pPr>
            <w:r w:rsidRPr="00050E79">
              <w:rPr>
                <w:rFonts w:ascii="Cambria" w:eastAsia="Times New Roman" w:hAnsi="Cambria" w:cs="Arial"/>
                <w:b/>
                <w:bCs/>
                <w:color w:val="FFFFFF"/>
                <w:sz w:val="24"/>
                <w:szCs w:val="24"/>
              </w:rPr>
              <w:t>Permanency 1: Children have permanency and stability in their living situati</w:t>
            </w:r>
            <w:r w:rsidR="00461FEF">
              <w:rPr>
                <w:rFonts w:ascii="Cambria" w:eastAsia="Times New Roman" w:hAnsi="Cambria" w:cs="Arial"/>
                <w:b/>
                <w:bCs/>
                <w:color w:val="FFFFFF"/>
                <w:sz w:val="24"/>
                <w:szCs w:val="24"/>
              </w:rPr>
              <w:t xml:space="preserve">ons </w:t>
            </w:r>
          </w:p>
        </w:tc>
        <w:tc>
          <w:tcPr>
            <w:tcW w:w="1064" w:type="dxa"/>
            <w:tcBorders>
              <w:top w:val="nil"/>
              <w:left w:val="nil"/>
              <w:bottom w:val="single" w:sz="4" w:space="0" w:color="auto"/>
              <w:right w:val="single" w:sz="8" w:space="0" w:color="auto"/>
            </w:tcBorders>
            <w:shd w:val="clear" w:color="000000" w:fill="215967"/>
            <w:noWrap/>
            <w:vAlign w:val="center"/>
          </w:tcPr>
          <w:p w14:paraId="1A5F5F2C" w14:textId="3F01A1AB" w:rsidR="0041336D" w:rsidRPr="0041336D" w:rsidRDefault="0041336D" w:rsidP="003F05F4">
            <w:pPr>
              <w:spacing w:after="0" w:line="240" w:lineRule="auto"/>
              <w:jc w:val="center"/>
              <w:rPr>
                <w:rFonts w:asciiTheme="majorHAnsi" w:eastAsia="Times New Roman" w:hAnsiTheme="majorHAnsi" w:cs="Arial"/>
                <w:b/>
                <w:bCs/>
                <w:color w:val="FFFFFF"/>
                <w:sz w:val="24"/>
                <w:szCs w:val="24"/>
              </w:rPr>
            </w:pPr>
            <w:r w:rsidRPr="0041336D">
              <w:rPr>
                <w:rFonts w:asciiTheme="majorHAnsi" w:eastAsia="Times New Roman" w:hAnsiTheme="majorHAnsi"/>
                <w:b/>
                <w:bCs/>
                <w:color w:val="FFFFFF"/>
                <w:sz w:val="24"/>
                <w:szCs w:val="24"/>
              </w:rPr>
              <w:t>4</w:t>
            </w:r>
            <w:r w:rsidR="00311416">
              <w:rPr>
                <w:rFonts w:asciiTheme="majorHAnsi" w:eastAsia="Times New Roman" w:hAnsiTheme="majorHAnsi"/>
                <w:b/>
                <w:bCs/>
                <w:color w:val="FFFFFF"/>
                <w:sz w:val="24"/>
                <w:szCs w:val="24"/>
              </w:rPr>
              <w:t>8</w:t>
            </w:r>
            <w:r w:rsidRPr="0041336D">
              <w:rPr>
                <w:rFonts w:asciiTheme="majorHAnsi" w:eastAsia="Times New Roman" w:hAnsiTheme="majorHAnsi"/>
                <w:b/>
                <w:bCs/>
                <w:color w:val="FFFFFF"/>
                <w:sz w:val="24"/>
                <w:szCs w:val="24"/>
              </w:rPr>
              <w:t>%</w:t>
            </w:r>
          </w:p>
        </w:tc>
        <w:tc>
          <w:tcPr>
            <w:tcW w:w="1064" w:type="dxa"/>
            <w:tcBorders>
              <w:top w:val="nil"/>
              <w:left w:val="nil"/>
              <w:bottom w:val="single" w:sz="4" w:space="0" w:color="auto"/>
              <w:right w:val="single" w:sz="8" w:space="0" w:color="auto"/>
            </w:tcBorders>
            <w:shd w:val="clear" w:color="000000" w:fill="215967"/>
            <w:vAlign w:val="center"/>
          </w:tcPr>
          <w:p w14:paraId="57D2DA26" w14:textId="3CA3FC95" w:rsidR="0041336D" w:rsidRPr="0041336D" w:rsidRDefault="00311416" w:rsidP="003F05F4">
            <w:pPr>
              <w:spacing w:after="0" w:line="240" w:lineRule="auto"/>
              <w:jc w:val="center"/>
              <w:rPr>
                <w:rFonts w:asciiTheme="majorHAnsi" w:eastAsia="Times New Roman" w:hAnsiTheme="majorHAnsi" w:cs="Arial"/>
                <w:b/>
                <w:bCs/>
                <w:color w:val="FFFFFF"/>
                <w:sz w:val="24"/>
                <w:szCs w:val="24"/>
              </w:rPr>
            </w:pPr>
            <w:r>
              <w:rPr>
                <w:rFonts w:asciiTheme="majorHAnsi" w:eastAsia="Times New Roman" w:hAnsiTheme="majorHAnsi"/>
                <w:b/>
                <w:bCs/>
                <w:color w:val="FFFFFF"/>
                <w:sz w:val="24"/>
                <w:szCs w:val="24"/>
              </w:rPr>
              <w:t>46</w:t>
            </w:r>
            <w:r w:rsidR="0041336D" w:rsidRPr="0041336D">
              <w:rPr>
                <w:rFonts w:asciiTheme="majorHAnsi" w:eastAsia="Times New Roman" w:hAnsiTheme="majorHAnsi"/>
                <w:b/>
                <w:bCs/>
                <w:color w:val="FFFFFF"/>
                <w:sz w:val="24"/>
                <w:szCs w:val="24"/>
              </w:rPr>
              <w:t>%</w:t>
            </w:r>
          </w:p>
        </w:tc>
        <w:tc>
          <w:tcPr>
            <w:tcW w:w="1032" w:type="dxa"/>
            <w:tcBorders>
              <w:top w:val="nil"/>
              <w:left w:val="nil"/>
              <w:bottom w:val="single" w:sz="4" w:space="0" w:color="auto"/>
              <w:right w:val="single" w:sz="8" w:space="0" w:color="auto"/>
            </w:tcBorders>
            <w:shd w:val="clear" w:color="000000" w:fill="215967"/>
            <w:vAlign w:val="center"/>
          </w:tcPr>
          <w:p w14:paraId="4F07C25D" w14:textId="376DB840" w:rsidR="0041336D" w:rsidRPr="0041336D" w:rsidRDefault="0041336D" w:rsidP="003F05F4">
            <w:pPr>
              <w:spacing w:after="0" w:line="240" w:lineRule="auto"/>
              <w:jc w:val="center"/>
              <w:rPr>
                <w:rFonts w:asciiTheme="majorHAnsi" w:eastAsia="Times New Roman" w:hAnsiTheme="majorHAnsi" w:cs="Arial"/>
                <w:b/>
                <w:bCs/>
                <w:color w:val="FFFFFF"/>
                <w:sz w:val="24"/>
                <w:szCs w:val="24"/>
              </w:rPr>
            </w:pPr>
            <w:r w:rsidRPr="0041336D">
              <w:rPr>
                <w:rFonts w:asciiTheme="majorHAnsi" w:eastAsia="Times New Roman" w:hAnsiTheme="majorHAnsi"/>
                <w:b/>
                <w:bCs/>
                <w:color w:val="FFFFFF"/>
                <w:sz w:val="24"/>
                <w:szCs w:val="24"/>
              </w:rPr>
              <w:t>36%</w:t>
            </w:r>
          </w:p>
        </w:tc>
      </w:tr>
      <w:tr w:rsidR="0041336D" w:rsidRPr="00050E79" w14:paraId="68C550FA" w14:textId="77777777" w:rsidTr="0031511E">
        <w:trPr>
          <w:trHeight w:val="338"/>
          <w:jc w:val="center"/>
        </w:trPr>
        <w:tc>
          <w:tcPr>
            <w:tcW w:w="7950" w:type="dxa"/>
            <w:tcBorders>
              <w:top w:val="nil"/>
              <w:left w:val="single" w:sz="8" w:space="0" w:color="auto"/>
              <w:bottom w:val="single" w:sz="4" w:space="0" w:color="auto"/>
              <w:right w:val="single" w:sz="4" w:space="0" w:color="auto"/>
            </w:tcBorders>
            <w:shd w:val="clear" w:color="auto" w:fill="auto"/>
            <w:noWrap/>
            <w:vAlign w:val="center"/>
            <w:hideMark/>
          </w:tcPr>
          <w:p w14:paraId="745A5389" w14:textId="7256F73B" w:rsidR="0041336D" w:rsidRPr="00050E79" w:rsidRDefault="0041336D" w:rsidP="003F05F4">
            <w:pPr>
              <w:spacing w:after="0" w:line="240" w:lineRule="auto"/>
              <w:rPr>
                <w:rFonts w:ascii="Cambria" w:eastAsia="Times New Roman" w:hAnsi="Cambria" w:cs="Arial"/>
                <w:color w:val="000000"/>
                <w:sz w:val="24"/>
                <w:szCs w:val="24"/>
              </w:rPr>
            </w:pPr>
            <w:r w:rsidRPr="00050E79">
              <w:rPr>
                <w:rFonts w:ascii="Cambria" w:eastAsia="Times New Roman" w:hAnsi="Cambria" w:cs="Arial"/>
                <w:color w:val="000000"/>
                <w:sz w:val="24"/>
                <w:szCs w:val="24"/>
              </w:rPr>
              <w:t xml:space="preserve">    Item 4:  Stability of Foster Care </w:t>
            </w:r>
            <w:r w:rsidR="00943102" w:rsidRPr="00050E79">
              <w:rPr>
                <w:rFonts w:ascii="Cambria" w:eastAsia="Times New Roman" w:hAnsi="Cambria" w:cs="Arial"/>
                <w:color w:val="000000"/>
                <w:sz w:val="24"/>
                <w:szCs w:val="24"/>
              </w:rPr>
              <w:t>Placement (</w:t>
            </w:r>
            <w:r>
              <w:rPr>
                <w:rFonts w:ascii="Cambria" w:eastAsia="Times New Roman" w:hAnsi="Cambria" w:cs="Arial"/>
                <w:color w:val="000000"/>
                <w:sz w:val="20"/>
                <w:szCs w:val="20"/>
              </w:rPr>
              <w:t>N=120</w:t>
            </w:r>
            <w:r w:rsidRPr="00050E79">
              <w:rPr>
                <w:rFonts w:ascii="Cambria" w:eastAsia="Times New Roman" w:hAnsi="Cambria" w:cs="Arial"/>
                <w:color w:val="000000"/>
                <w:sz w:val="20"/>
                <w:szCs w:val="20"/>
              </w:rPr>
              <w:t>)</w:t>
            </w:r>
          </w:p>
        </w:tc>
        <w:tc>
          <w:tcPr>
            <w:tcW w:w="1064" w:type="dxa"/>
            <w:tcBorders>
              <w:top w:val="nil"/>
              <w:left w:val="nil"/>
              <w:bottom w:val="single" w:sz="4" w:space="0" w:color="auto"/>
              <w:right w:val="single" w:sz="8" w:space="0" w:color="auto"/>
            </w:tcBorders>
            <w:shd w:val="clear" w:color="auto" w:fill="auto"/>
            <w:noWrap/>
            <w:vAlign w:val="center"/>
          </w:tcPr>
          <w:p w14:paraId="48439499" w14:textId="7A1DA356" w:rsidR="0041336D" w:rsidRPr="0041336D" w:rsidRDefault="0041336D" w:rsidP="003F05F4">
            <w:pPr>
              <w:spacing w:after="0" w:line="240" w:lineRule="auto"/>
              <w:jc w:val="center"/>
              <w:rPr>
                <w:rFonts w:asciiTheme="majorHAnsi" w:eastAsia="Times New Roman" w:hAnsiTheme="majorHAnsi" w:cs="Arial"/>
                <w:color w:val="000000"/>
                <w:sz w:val="24"/>
                <w:szCs w:val="24"/>
              </w:rPr>
            </w:pPr>
            <w:r w:rsidRPr="0041336D">
              <w:rPr>
                <w:rFonts w:asciiTheme="majorHAnsi" w:eastAsia="Times New Roman" w:hAnsiTheme="majorHAnsi"/>
                <w:color w:val="000000"/>
                <w:sz w:val="24"/>
                <w:szCs w:val="24"/>
              </w:rPr>
              <w:t>7</w:t>
            </w:r>
            <w:r w:rsidR="00311416">
              <w:rPr>
                <w:rFonts w:asciiTheme="majorHAnsi" w:eastAsia="Times New Roman" w:hAnsiTheme="majorHAnsi"/>
                <w:color w:val="000000"/>
                <w:sz w:val="24"/>
                <w:szCs w:val="24"/>
              </w:rPr>
              <w:t>3</w:t>
            </w:r>
            <w:r w:rsidRPr="0041336D">
              <w:rPr>
                <w:rFonts w:asciiTheme="majorHAnsi" w:eastAsia="Times New Roman" w:hAnsiTheme="majorHAnsi"/>
                <w:color w:val="000000"/>
                <w:sz w:val="24"/>
                <w:szCs w:val="24"/>
              </w:rPr>
              <w:t>%</w:t>
            </w:r>
          </w:p>
        </w:tc>
        <w:tc>
          <w:tcPr>
            <w:tcW w:w="1064" w:type="dxa"/>
            <w:tcBorders>
              <w:top w:val="nil"/>
              <w:left w:val="nil"/>
              <w:bottom w:val="single" w:sz="4" w:space="0" w:color="auto"/>
              <w:right w:val="single" w:sz="8" w:space="0" w:color="auto"/>
            </w:tcBorders>
            <w:vAlign w:val="center"/>
          </w:tcPr>
          <w:p w14:paraId="63A885BA" w14:textId="5E1017D2" w:rsidR="0041336D" w:rsidRPr="0041336D"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75</w:t>
            </w:r>
            <w:r w:rsidR="0041336D" w:rsidRPr="0041336D">
              <w:rPr>
                <w:rFonts w:asciiTheme="majorHAnsi" w:eastAsia="Times New Roman" w:hAnsiTheme="majorHAnsi"/>
                <w:color w:val="000000"/>
                <w:sz w:val="24"/>
                <w:szCs w:val="24"/>
              </w:rPr>
              <w:t>%</w:t>
            </w:r>
          </w:p>
        </w:tc>
        <w:tc>
          <w:tcPr>
            <w:tcW w:w="1032" w:type="dxa"/>
            <w:tcBorders>
              <w:top w:val="nil"/>
              <w:left w:val="nil"/>
              <w:bottom w:val="single" w:sz="4" w:space="0" w:color="auto"/>
              <w:right w:val="single" w:sz="8" w:space="0" w:color="auto"/>
            </w:tcBorders>
            <w:vAlign w:val="center"/>
          </w:tcPr>
          <w:p w14:paraId="531F09BC" w14:textId="0742413A" w:rsidR="0041336D" w:rsidRPr="0041336D" w:rsidRDefault="0041336D" w:rsidP="003F05F4">
            <w:pPr>
              <w:spacing w:after="0" w:line="240" w:lineRule="auto"/>
              <w:jc w:val="center"/>
              <w:rPr>
                <w:rFonts w:asciiTheme="majorHAnsi" w:eastAsia="Times New Roman" w:hAnsiTheme="majorHAnsi" w:cs="Arial"/>
                <w:color w:val="000000"/>
                <w:sz w:val="24"/>
                <w:szCs w:val="24"/>
              </w:rPr>
            </w:pPr>
            <w:r w:rsidRPr="0041336D">
              <w:rPr>
                <w:rFonts w:asciiTheme="majorHAnsi" w:eastAsia="Times New Roman" w:hAnsiTheme="majorHAnsi"/>
                <w:color w:val="000000"/>
                <w:sz w:val="24"/>
                <w:szCs w:val="24"/>
              </w:rPr>
              <w:t>70%</w:t>
            </w:r>
          </w:p>
        </w:tc>
      </w:tr>
      <w:tr w:rsidR="0041336D" w:rsidRPr="00050E79" w14:paraId="31690500" w14:textId="77777777" w:rsidTr="0031511E">
        <w:trPr>
          <w:trHeight w:val="338"/>
          <w:jc w:val="center"/>
        </w:trPr>
        <w:tc>
          <w:tcPr>
            <w:tcW w:w="7950" w:type="dxa"/>
            <w:tcBorders>
              <w:top w:val="nil"/>
              <w:left w:val="single" w:sz="8" w:space="0" w:color="auto"/>
              <w:bottom w:val="single" w:sz="4" w:space="0" w:color="auto"/>
              <w:right w:val="single" w:sz="4" w:space="0" w:color="auto"/>
            </w:tcBorders>
            <w:shd w:val="clear" w:color="auto" w:fill="auto"/>
            <w:noWrap/>
            <w:vAlign w:val="center"/>
            <w:hideMark/>
          </w:tcPr>
          <w:p w14:paraId="74C0854C" w14:textId="71C6FE5F" w:rsidR="0041336D" w:rsidRPr="00050E79" w:rsidRDefault="0041336D" w:rsidP="003F05F4">
            <w:pPr>
              <w:spacing w:after="0" w:line="240" w:lineRule="auto"/>
              <w:rPr>
                <w:rFonts w:ascii="Cambria" w:eastAsia="Times New Roman" w:hAnsi="Cambria" w:cs="Arial"/>
                <w:color w:val="000000"/>
                <w:sz w:val="24"/>
                <w:szCs w:val="24"/>
              </w:rPr>
            </w:pPr>
            <w:r w:rsidRPr="00050E79">
              <w:rPr>
                <w:rFonts w:ascii="Cambria" w:eastAsia="Times New Roman" w:hAnsi="Cambria" w:cs="Arial"/>
                <w:color w:val="000000"/>
                <w:sz w:val="24"/>
                <w:szCs w:val="24"/>
              </w:rPr>
              <w:t xml:space="preserve">    Item 5:  Permanency Goal for </w:t>
            </w:r>
            <w:r w:rsidR="00943102" w:rsidRPr="00050E79">
              <w:rPr>
                <w:rFonts w:ascii="Cambria" w:eastAsia="Times New Roman" w:hAnsi="Cambria" w:cs="Arial"/>
                <w:color w:val="000000"/>
                <w:sz w:val="24"/>
                <w:szCs w:val="24"/>
              </w:rPr>
              <w:t>Child (</w:t>
            </w:r>
            <w:r>
              <w:rPr>
                <w:rFonts w:ascii="Cambria" w:eastAsia="Times New Roman" w:hAnsi="Cambria" w:cs="Arial"/>
                <w:color w:val="000000"/>
                <w:sz w:val="20"/>
                <w:szCs w:val="20"/>
              </w:rPr>
              <w:t>N=120</w:t>
            </w:r>
            <w:r w:rsidRPr="00050E79">
              <w:rPr>
                <w:rFonts w:ascii="Cambria" w:eastAsia="Times New Roman" w:hAnsi="Cambria" w:cs="Arial"/>
                <w:color w:val="000000"/>
                <w:sz w:val="20"/>
                <w:szCs w:val="20"/>
              </w:rPr>
              <w:t>)</w:t>
            </w:r>
          </w:p>
        </w:tc>
        <w:tc>
          <w:tcPr>
            <w:tcW w:w="1064" w:type="dxa"/>
            <w:tcBorders>
              <w:top w:val="nil"/>
              <w:left w:val="nil"/>
              <w:bottom w:val="single" w:sz="4" w:space="0" w:color="auto"/>
              <w:right w:val="single" w:sz="8" w:space="0" w:color="auto"/>
            </w:tcBorders>
            <w:shd w:val="clear" w:color="auto" w:fill="auto"/>
            <w:noWrap/>
            <w:vAlign w:val="center"/>
          </w:tcPr>
          <w:p w14:paraId="18C6A5D4" w14:textId="2A6EBD9D" w:rsidR="0041336D" w:rsidRPr="0041336D"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80</w:t>
            </w:r>
            <w:r w:rsidR="0041336D" w:rsidRPr="0041336D">
              <w:rPr>
                <w:rFonts w:asciiTheme="majorHAnsi" w:eastAsia="Times New Roman" w:hAnsiTheme="majorHAnsi"/>
                <w:color w:val="000000"/>
                <w:sz w:val="24"/>
                <w:szCs w:val="24"/>
              </w:rPr>
              <w:t>%</w:t>
            </w:r>
          </w:p>
        </w:tc>
        <w:tc>
          <w:tcPr>
            <w:tcW w:w="1064" w:type="dxa"/>
            <w:tcBorders>
              <w:top w:val="nil"/>
              <w:left w:val="nil"/>
              <w:bottom w:val="single" w:sz="4" w:space="0" w:color="auto"/>
              <w:right w:val="single" w:sz="8" w:space="0" w:color="auto"/>
            </w:tcBorders>
            <w:vAlign w:val="center"/>
          </w:tcPr>
          <w:p w14:paraId="17D47B2D" w14:textId="79332C95" w:rsidR="0041336D" w:rsidRPr="0041336D" w:rsidRDefault="0041336D" w:rsidP="003F05F4">
            <w:pPr>
              <w:spacing w:after="0" w:line="240" w:lineRule="auto"/>
              <w:jc w:val="center"/>
              <w:rPr>
                <w:rFonts w:asciiTheme="majorHAnsi" w:eastAsia="Times New Roman" w:hAnsiTheme="majorHAnsi" w:cs="Arial"/>
                <w:color w:val="000000"/>
                <w:sz w:val="24"/>
                <w:szCs w:val="24"/>
              </w:rPr>
            </w:pPr>
            <w:r w:rsidRPr="0041336D">
              <w:rPr>
                <w:rFonts w:asciiTheme="majorHAnsi" w:eastAsia="Times New Roman" w:hAnsiTheme="majorHAnsi"/>
                <w:color w:val="000000"/>
                <w:sz w:val="24"/>
                <w:szCs w:val="24"/>
              </w:rPr>
              <w:t>72%</w:t>
            </w:r>
          </w:p>
        </w:tc>
        <w:tc>
          <w:tcPr>
            <w:tcW w:w="1032" w:type="dxa"/>
            <w:tcBorders>
              <w:top w:val="nil"/>
              <w:left w:val="nil"/>
              <w:bottom w:val="single" w:sz="4" w:space="0" w:color="auto"/>
              <w:right w:val="single" w:sz="8" w:space="0" w:color="auto"/>
            </w:tcBorders>
            <w:vAlign w:val="center"/>
          </w:tcPr>
          <w:p w14:paraId="4D8639ED" w14:textId="13CCF69C" w:rsidR="0041336D" w:rsidRPr="0041336D" w:rsidRDefault="0041336D" w:rsidP="003F05F4">
            <w:pPr>
              <w:spacing w:after="0" w:line="240" w:lineRule="auto"/>
              <w:jc w:val="center"/>
              <w:rPr>
                <w:rFonts w:asciiTheme="majorHAnsi" w:eastAsia="Times New Roman" w:hAnsiTheme="majorHAnsi" w:cs="Arial"/>
                <w:color w:val="000000"/>
                <w:sz w:val="24"/>
                <w:szCs w:val="24"/>
              </w:rPr>
            </w:pPr>
            <w:r w:rsidRPr="0041336D">
              <w:rPr>
                <w:rFonts w:asciiTheme="majorHAnsi" w:eastAsia="Times New Roman" w:hAnsiTheme="majorHAnsi"/>
                <w:color w:val="000000"/>
                <w:sz w:val="24"/>
                <w:szCs w:val="24"/>
              </w:rPr>
              <w:t>64%</w:t>
            </w:r>
          </w:p>
        </w:tc>
      </w:tr>
      <w:tr w:rsidR="0041336D" w:rsidRPr="00021791" w14:paraId="7A5E2097" w14:textId="77777777" w:rsidTr="0031511E">
        <w:trPr>
          <w:trHeight w:val="338"/>
          <w:jc w:val="center"/>
        </w:trPr>
        <w:tc>
          <w:tcPr>
            <w:tcW w:w="7950" w:type="dxa"/>
            <w:tcBorders>
              <w:top w:val="nil"/>
              <w:left w:val="single" w:sz="8" w:space="0" w:color="auto"/>
              <w:bottom w:val="single" w:sz="4" w:space="0" w:color="auto"/>
              <w:right w:val="single" w:sz="4" w:space="0" w:color="auto"/>
            </w:tcBorders>
            <w:shd w:val="clear" w:color="auto" w:fill="auto"/>
            <w:noWrap/>
            <w:vAlign w:val="center"/>
            <w:hideMark/>
          </w:tcPr>
          <w:p w14:paraId="24F1AAEA" w14:textId="5874801D" w:rsidR="0041336D" w:rsidRPr="00021791" w:rsidRDefault="0041336D" w:rsidP="003F05F4">
            <w:pPr>
              <w:spacing w:after="0" w:line="240" w:lineRule="auto"/>
              <w:rPr>
                <w:rFonts w:ascii="Cambria" w:eastAsia="Times New Roman" w:hAnsi="Cambria" w:cs="Arial"/>
                <w:color w:val="000000"/>
                <w:sz w:val="24"/>
                <w:szCs w:val="24"/>
              </w:rPr>
            </w:pPr>
            <w:r w:rsidRPr="00050E79">
              <w:rPr>
                <w:rFonts w:ascii="Cambria" w:eastAsia="Times New Roman" w:hAnsi="Cambria" w:cs="Arial"/>
                <w:color w:val="000000"/>
                <w:sz w:val="24"/>
                <w:szCs w:val="24"/>
              </w:rPr>
              <w:t xml:space="preserve">    </w:t>
            </w:r>
            <w:r w:rsidRPr="00021791">
              <w:rPr>
                <w:rFonts w:ascii="Cambria" w:eastAsia="Times New Roman" w:hAnsi="Cambria" w:cs="Arial"/>
                <w:color w:val="000000"/>
                <w:sz w:val="24"/>
                <w:szCs w:val="24"/>
              </w:rPr>
              <w:t xml:space="preserve">Item 6:  Achieving Reunification, Guardianship, Adoption or APPLA </w:t>
            </w:r>
            <w:r w:rsidRPr="00021791">
              <w:rPr>
                <w:rFonts w:ascii="Cambria" w:eastAsia="Times New Roman" w:hAnsi="Cambria" w:cs="Arial"/>
                <w:color w:val="000000"/>
                <w:sz w:val="20"/>
                <w:szCs w:val="20"/>
              </w:rPr>
              <w:t>(</w:t>
            </w:r>
            <w:r w:rsidRPr="00021791">
              <w:rPr>
                <w:rFonts w:ascii="Cambria" w:eastAsia="Times New Roman" w:hAnsi="Cambria" w:cs="Arial"/>
                <w:color w:val="000000"/>
                <w:sz w:val="16"/>
                <w:szCs w:val="16"/>
              </w:rPr>
              <w:t>N=120</w:t>
            </w:r>
            <w:r w:rsidRPr="00021791">
              <w:rPr>
                <w:rFonts w:ascii="Cambria" w:eastAsia="Times New Roman" w:hAnsi="Cambria" w:cs="Arial"/>
                <w:color w:val="000000"/>
                <w:sz w:val="20"/>
                <w:szCs w:val="20"/>
              </w:rPr>
              <w:t>)</w:t>
            </w:r>
          </w:p>
        </w:tc>
        <w:tc>
          <w:tcPr>
            <w:tcW w:w="1064" w:type="dxa"/>
            <w:tcBorders>
              <w:top w:val="nil"/>
              <w:left w:val="nil"/>
              <w:bottom w:val="single" w:sz="4" w:space="0" w:color="auto"/>
              <w:right w:val="single" w:sz="8" w:space="0" w:color="auto"/>
            </w:tcBorders>
            <w:shd w:val="clear" w:color="auto" w:fill="auto"/>
            <w:noWrap/>
            <w:vAlign w:val="center"/>
          </w:tcPr>
          <w:p w14:paraId="6636ABA5" w14:textId="756D0035"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76</w:t>
            </w:r>
            <w:r w:rsidR="0041336D" w:rsidRPr="00021791">
              <w:rPr>
                <w:rFonts w:asciiTheme="majorHAnsi" w:eastAsia="Times New Roman" w:hAnsiTheme="majorHAnsi"/>
                <w:color w:val="000000"/>
                <w:sz w:val="24"/>
                <w:szCs w:val="24"/>
              </w:rPr>
              <w:t>%</w:t>
            </w:r>
          </w:p>
        </w:tc>
        <w:tc>
          <w:tcPr>
            <w:tcW w:w="1064" w:type="dxa"/>
            <w:tcBorders>
              <w:top w:val="nil"/>
              <w:left w:val="nil"/>
              <w:bottom w:val="single" w:sz="4" w:space="0" w:color="auto"/>
              <w:right w:val="single" w:sz="8" w:space="0" w:color="auto"/>
            </w:tcBorders>
            <w:vAlign w:val="center"/>
          </w:tcPr>
          <w:p w14:paraId="5A63D492" w14:textId="71ADD8BA"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6</w:t>
            </w:r>
            <w:r w:rsidR="00311416">
              <w:rPr>
                <w:rFonts w:asciiTheme="majorHAnsi" w:eastAsia="Times New Roman" w:hAnsiTheme="majorHAnsi"/>
                <w:color w:val="000000"/>
                <w:sz w:val="24"/>
                <w:szCs w:val="24"/>
              </w:rPr>
              <w:t>9</w:t>
            </w:r>
            <w:r w:rsidRPr="00021791">
              <w:rPr>
                <w:rFonts w:asciiTheme="majorHAnsi" w:eastAsia="Times New Roman" w:hAnsiTheme="majorHAnsi"/>
                <w:color w:val="000000"/>
                <w:sz w:val="24"/>
                <w:szCs w:val="24"/>
              </w:rPr>
              <w:t>%</w:t>
            </w:r>
          </w:p>
        </w:tc>
        <w:tc>
          <w:tcPr>
            <w:tcW w:w="1032" w:type="dxa"/>
            <w:tcBorders>
              <w:top w:val="nil"/>
              <w:left w:val="nil"/>
              <w:bottom w:val="single" w:sz="4" w:space="0" w:color="auto"/>
              <w:right w:val="single" w:sz="8" w:space="0" w:color="auto"/>
            </w:tcBorders>
            <w:vAlign w:val="center"/>
          </w:tcPr>
          <w:p w14:paraId="42DEDA01" w14:textId="391D7C6A"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58%</w:t>
            </w:r>
          </w:p>
        </w:tc>
      </w:tr>
      <w:tr w:rsidR="0041336D" w:rsidRPr="00021791" w14:paraId="34338456" w14:textId="77777777" w:rsidTr="0031511E">
        <w:trPr>
          <w:trHeight w:val="675"/>
          <w:jc w:val="center"/>
        </w:trPr>
        <w:tc>
          <w:tcPr>
            <w:tcW w:w="7950" w:type="dxa"/>
            <w:tcBorders>
              <w:top w:val="nil"/>
              <w:left w:val="single" w:sz="8" w:space="0" w:color="auto"/>
              <w:bottom w:val="single" w:sz="4" w:space="0" w:color="auto"/>
              <w:right w:val="single" w:sz="4" w:space="0" w:color="FFFFFF"/>
            </w:tcBorders>
            <w:shd w:val="clear" w:color="000000" w:fill="215967"/>
            <w:vAlign w:val="center"/>
            <w:hideMark/>
          </w:tcPr>
          <w:p w14:paraId="081544F5" w14:textId="05CC7D07" w:rsidR="0041336D" w:rsidRPr="00021791" w:rsidRDefault="0041336D" w:rsidP="003F05F4">
            <w:pPr>
              <w:spacing w:after="0" w:line="240" w:lineRule="auto"/>
              <w:rPr>
                <w:rFonts w:ascii="Cambria" w:eastAsia="Times New Roman" w:hAnsi="Cambria" w:cs="Arial"/>
                <w:b/>
                <w:bCs/>
                <w:color w:val="FFFFFF"/>
                <w:sz w:val="24"/>
                <w:szCs w:val="24"/>
              </w:rPr>
            </w:pPr>
            <w:r w:rsidRPr="00021791">
              <w:rPr>
                <w:rFonts w:ascii="Cambria" w:eastAsia="Times New Roman" w:hAnsi="Cambria" w:cs="Arial"/>
                <w:b/>
                <w:bCs/>
                <w:color w:val="FFFFFF"/>
                <w:sz w:val="24"/>
                <w:szCs w:val="24"/>
              </w:rPr>
              <w:t>Permanency 2: The continuity of family relationships and connect</w:t>
            </w:r>
            <w:r w:rsidR="00461FEF">
              <w:rPr>
                <w:rFonts w:ascii="Cambria" w:eastAsia="Times New Roman" w:hAnsi="Cambria" w:cs="Arial"/>
                <w:b/>
                <w:bCs/>
                <w:color w:val="FFFFFF"/>
                <w:sz w:val="24"/>
                <w:szCs w:val="24"/>
              </w:rPr>
              <w:t xml:space="preserve">ions is preserved for children </w:t>
            </w:r>
          </w:p>
        </w:tc>
        <w:tc>
          <w:tcPr>
            <w:tcW w:w="1064" w:type="dxa"/>
            <w:tcBorders>
              <w:top w:val="nil"/>
              <w:left w:val="nil"/>
              <w:bottom w:val="single" w:sz="4" w:space="0" w:color="auto"/>
              <w:right w:val="single" w:sz="8" w:space="0" w:color="auto"/>
            </w:tcBorders>
            <w:shd w:val="clear" w:color="000000" w:fill="215967"/>
            <w:noWrap/>
            <w:vAlign w:val="center"/>
          </w:tcPr>
          <w:p w14:paraId="33032779" w14:textId="356051EE" w:rsidR="0041336D" w:rsidRPr="00021791" w:rsidRDefault="00311416" w:rsidP="003F05F4">
            <w:pPr>
              <w:spacing w:after="0" w:line="240" w:lineRule="auto"/>
              <w:jc w:val="center"/>
              <w:rPr>
                <w:rFonts w:asciiTheme="majorHAnsi" w:eastAsia="Times New Roman" w:hAnsiTheme="majorHAnsi" w:cs="Arial"/>
                <w:b/>
                <w:bCs/>
                <w:color w:val="FFFFFF"/>
                <w:sz w:val="24"/>
                <w:szCs w:val="24"/>
              </w:rPr>
            </w:pPr>
            <w:r>
              <w:rPr>
                <w:rFonts w:asciiTheme="majorHAnsi" w:eastAsia="Times New Roman" w:hAnsiTheme="majorHAnsi"/>
                <w:b/>
                <w:bCs/>
                <w:color w:val="FFFFFF"/>
                <w:sz w:val="24"/>
                <w:szCs w:val="24"/>
              </w:rPr>
              <w:t>80</w:t>
            </w:r>
            <w:r w:rsidR="0041336D" w:rsidRPr="00021791">
              <w:rPr>
                <w:rFonts w:asciiTheme="majorHAnsi" w:eastAsia="Times New Roman" w:hAnsiTheme="majorHAnsi"/>
                <w:b/>
                <w:bCs/>
                <w:color w:val="FFFFFF"/>
                <w:sz w:val="24"/>
                <w:szCs w:val="24"/>
              </w:rPr>
              <w:t>%</w:t>
            </w:r>
          </w:p>
        </w:tc>
        <w:tc>
          <w:tcPr>
            <w:tcW w:w="1064" w:type="dxa"/>
            <w:tcBorders>
              <w:top w:val="nil"/>
              <w:left w:val="nil"/>
              <w:bottom w:val="single" w:sz="4" w:space="0" w:color="auto"/>
              <w:right w:val="single" w:sz="8" w:space="0" w:color="auto"/>
            </w:tcBorders>
            <w:shd w:val="clear" w:color="000000" w:fill="215967"/>
            <w:vAlign w:val="center"/>
          </w:tcPr>
          <w:p w14:paraId="1B0E16D7" w14:textId="4B33E2C3" w:rsidR="0041336D" w:rsidRPr="00021791" w:rsidRDefault="0041336D" w:rsidP="003F05F4">
            <w:pPr>
              <w:spacing w:after="0" w:line="240" w:lineRule="auto"/>
              <w:jc w:val="center"/>
              <w:rPr>
                <w:rFonts w:asciiTheme="majorHAnsi" w:eastAsia="Times New Roman" w:hAnsiTheme="majorHAnsi" w:cs="Arial"/>
                <w:b/>
                <w:bCs/>
                <w:color w:val="FFFFFF"/>
                <w:sz w:val="24"/>
                <w:szCs w:val="24"/>
              </w:rPr>
            </w:pPr>
            <w:r w:rsidRPr="00021791">
              <w:rPr>
                <w:rFonts w:asciiTheme="majorHAnsi" w:eastAsia="Times New Roman" w:hAnsiTheme="majorHAnsi"/>
                <w:b/>
                <w:bCs/>
                <w:color w:val="FFFFFF"/>
                <w:sz w:val="24"/>
                <w:szCs w:val="24"/>
              </w:rPr>
              <w:t>6</w:t>
            </w:r>
            <w:r w:rsidR="00311416">
              <w:rPr>
                <w:rFonts w:asciiTheme="majorHAnsi" w:eastAsia="Times New Roman" w:hAnsiTheme="majorHAnsi"/>
                <w:b/>
                <w:bCs/>
                <w:color w:val="FFFFFF"/>
                <w:sz w:val="24"/>
                <w:szCs w:val="24"/>
              </w:rPr>
              <w:t>5</w:t>
            </w:r>
            <w:r w:rsidRPr="00021791">
              <w:rPr>
                <w:rFonts w:asciiTheme="majorHAnsi" w:eastAsia="Times New Roman" w:hAnsiTheme="majorHAnsi"/>
                <w:b/>
                <w:bCs/>
                <w:color w:val="FFFFFF"/>
                <w:sz w:val="24"/>
                <w:szCs w:val="24"/>
              </w:rPr>
              <w:t>%</w:t>
            </w:r>
          </w:p>
        </w:tc>
        <w:tc>
          <w:tcPr>
            <w:tcW w:w="1032" w:type="dxa"/>
            <w:tcBorders>
              <w:top w:val="nil"/>
              <w:left w:val="nil"/>
              <w:bottom w:val="single" w:sz="4" w:space="0" w:color="auto"/>
              <w:right w:val="single" w:sz="8" w:space="0" w:color="auto"/>
            </w:tcBorders>
            <w:shd w:val="clear" w:color="000000" w:fill="215967"/>
            <w:vAlign w:val="center"/>
          </w:tcPr>
          <w:p w14:paraId="068EED55" w14:textId="7CD9D238" w:rsidR="0041336D" w:rsidRPr="00021791" w:rsidRDefault="0041336D" w:rsidP="003F05F4">
            <w:pPr>
              <w:spacing w:after="0" w:line="240" w:lineRule="auto"/>
              <w:jc w:val="center"/>
              <w:rPr>
                <w:rFonts w:asciiTheme="majorHAnsi" w:eastAsia="Times New Roman" w:hAnsiTheme="majorHAnsi" w:cs="Arial"/>
                <w:b/>
                <w:bCs/>
                <w:color w:val="FFFFFF"/>
                <w:sz w:val="24"/>
                <w:szCs w:val="24"/>
              </w:rPr>
            </w:pPr>
            <w:r w:rsidRPr="00021791">
              <w:rPr>
                <w:rFonts w:asciiTheme="majorHAnsi" w:eastAsia="Times New Roman" w:hAnsiTheme="majorHAnsi"/>
                <w:b/>
                <w:bCs/>
                <w:color w:val="FFFFFF"/>
                <w:sz w:val="24"/>
                <w:szCs w:val="24"/>
              </w:rPr>
              <w:t>43%</w:t>
            </w:r>
          </w:p>
        </w:tc>
      </w:tr>
      <w:tr w:rsidR="0041336D" w:rsidRPr="00021791" w14:paraId="0E076F86" w14:textId="77777777" w:rsidTr="0031511E">
        <w:trPr>
          <w:trHeight w:val="338"/>
          <w:jc w:val="center"/>
        </w:trPr>
        <w:tc>
          <w:tcPr>
            <w:tcW w:w="7950" w:type="dxa"/>
            <w:tcBorders>
              <w:top w:val="nil"/>
              <w:left w:val="single" w:sz="8" w:space="0" w:color="auto"/>
              <w:bottom w:val="single" w:sz="4" w:space="0" w:color="auto"/>
              <w:right w:val="single" w:sz="4" w:space="0" w:color="auto"/>
            </w:tcBorders>
            <w:shd w:val="clear" w:color="auto" w:fill="auto"/>
            <w:noWrap/>
            <w:vAlign w:val="center"/>
            <w:hideMark/>
          </w:tcPr>
          <w:p w14:paraId="3768A265" w14:textId="6FA62B1B" w:rsidR="0041336D" w:rsidRPr="00021791" w:rsidRDefault="0041336D" w:rsidP="003F05F4">
            <w:pPr>
              <w:spacing w:after="0" w:line="240" w:lineRule="auto"/>
              <w:rPr>
                <w:rFonts w:ascii="Cambria" w:eastAsia="Times New Roman" w:hAnsi="Cambria" w:cs="Arial"/>
                <w:color w:val="000000"/>
                <w:sz w:val="24"/>
                <w:szCs w:val="24"/>
              </w:rPr>
            </w:pPr>
            <w:r w:rsidRPr="00021791">
              <w:rPr>
                <w:rFonts w:ascii="Cambria" w:eastAsia="Times New Roman" w:hAnsi="Cambria" w:cs="Arial"/>
                <w:color w:val="000000"/>
                <w:sz w:val="24"/>
                <w:szCs w:val="24"/>
              </w:rPr>
              <w:t xml:space="preserve">    Item 7: Placement with </w:t>
            </w:r>
            <w:r w:rsidR="00943102" w:rsidRPr="00021791">
              <w:rPr>
                <w:rFonts w:ascii="Cambria" w:eastAsia="Times New Roman" w:hAnsi="Cambria" w:cs="Arial"/>
                <w:color w:val="000000"/>
                <w:sz w:val="24"/>
                <w:szCs w:val="24"/>
              </w:rPr>
              <w:t xml:space="preserve">Siblings </w:t>
            </w:r>
            <w:r w:rsidR="00943102" w:rsidRPr="00021791">
              <w:rPr>
                <w:rFonts w:ascii="Cambria" w:eastAsia="Times New Roman" w:hAnsi="Cambria" w:cs="Arial"/>
                <w:color w:val="000000"/>
                <w:sz w:val="20"/>
                <w:szCs w:val="20"/>
              </w:rPr>
              <w:t>(</w:t>
            </w:r>
            <w:r w:rsidRPr="00021791">
              <w:rPr>
                <w:rFonts w:ascii="Cambria" w:eastAsia="Times New Roman" w:hAnsi="Cambria" w:cs="Arial"/>
                <w:color w:val="000000"/>
                <w:sz w:val="20"/>
                <w:szCs w:val="20"/>
              </w:rPr>
              <w:t>N=84)</w:t>
            </w:r>
          </w:p>
        </w:tc>
        <w:tc>
          <w:tcPr>
            <w:tcW w:w="1064" w:type="dxa"/>
            <w:tcBorders>
              <w:top w:val="nil"/>
              <w:left w:val="nil"/>
              <w:bottom w:val="single" w:sz="4" w:space="0" w:color="auto"/>
              <w:right w:val="single" w:sz="8" w:space="0" w:color="auto"/>
            </w:tcBorders>
            <w:shd w:val="clear" w:color="auto" w:fill="auto"/>
            <w:noWrap/>
            <w:vAlign w:val="center"/>
          </w:tcPr>
          <w:p w14:paraId="442ADDA6" w14:textId="208F41BC" w:rsidR="0041336D" w:rsidRPr="00021791" w:rsidRDefault="000A3DE7"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7</w:t>
            </w:r>
            <w:r w:rsidR="00311416">
              <w:rPr>
                <w:rFonts w:asciiTheme="majorHAnsi" w:eastAsia="Times New Roman" w:hAnsiTheme="majorHAnsi"/>
                <w:color w:val="000000"/>
                <w:sz w:val="24"/>
                <w:szCs w:val="24"/>
              </w:rPr>
              <w:t>5</w:t>
            </w:r>
            <w:r w:rsidR="0041336D" w:rsidRPr="00021791">
              <w:rPr>
                <w:rFonts w:asciiTheme="majorHAnsi" w:eastAsia="Times New Roman" w:hAnsiTheme="majorHAnsi"/>
                <w:color w:val="000000"/>
                <w:sz w:val="24"/>
                <w:szCs w:val="24"/>
              </w:rPr>
              <w:t>%</w:t>
            </w:r>
          </w:p>
        </w:tc>
        <w:tc>
          <w:tcPr>
            <w:tcW w:w="1064" w:type="dxa"/>
            <w:tcBorders>
              <w:top w:val="nil"/>
              <w:left w:val="nil"/>
              <w:bottom w:val="single" w:sz="4" w:space="0" w:color="auto"/>
              <w:right w:val="single" w:sz="8" w:space="0" w:color="auto"/>
            </w:tcBorders>
            <w:vAlign w:val="center"/>
          </w:tcPr>
          <w:p w14:paraId="3B8604CB" w14:textId="116B10CD"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76%</w:t>
            </w:r>
          </w:p>
        </w:tc>
        <w:tc>
          <w:tcPr>
            <w:tcW w:w="1032" w:type="dxa"/>
            <w:tcBorders>
              <w:top w:val="nil"/>
              <w:left w:val="nil"/>
              <w:bottom w:val="single" w:sz="4" w:space="0" w:color="auto"/>
              <w:right w:val="single" w:sz="8" w:space="0" w:color="auto"/>
            </w:tcBorders>
            <w:vAlign w:val="center"/>
          </w:tcPr>
          <w:p w14:paraId="1F72B145" w14:textId="4B62A8B4"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47%</w:t>
            </w:r>
          </w:p>
        </w:tc>
      </w:tr>
      <w:tr w:rsidR="0041336D" w:rsidRPr="00021791" w14:paraId="09BFB6C1" w14:textId="77777777" w:rsidTr="0031511E">
        <w:trPr>
          <w:trHeight w:val="338"/>
          <w:jc w:val="center"/>
        </w:trPr>
        <w:tc>
          <w:tcPr>
            <w:tcW w:w="7950" w:type="dxa"/>
            <w:tcBorders>
              <w:top w:val="nil"/>
              <w:left w:val="single" w:sz="8" w:space="0" w:color="auto"/>
              <w:bottom w:val="single" w:sz="4" w:space="0" w:color="auto"/>
              <w:right w:val="single" w:sz="4" w:space="0" w:color="auto"/>
            </w:tcBorders>
            <w:shd w:val="clear" w:color="auto" w:fill="auto"/>
            <w:noWrap/>
            <w:vAlign w:val="center"/>
            <w:hideMark/>
          </w:tcPr>
          <w:p w14:paraId="4E4E17C8" w14:textId="2C4A1DD1" w:rsidR="0041336D" w:rsidRPr="00021791" w:rsidRDefault="0041336D" w:rsidP="003F05F4">
            <w:pPr>
              <w:spacing w:after="0" w:line="240" w:lineRule="auto"/>
              <w:rPr>
                <w:rFonts w:ascii="Cambria" w:eastAsia="Times New Roman" w:hAnsi="Cambria" w:cs="Arial"/>
                <w:color w:val="000000"/>
                <w:sz w:val="24"/>
                <w:szCs w:val="24"/>
              </w:rPr>
            </w:pPr>
            <w:r w:rsidRPr="00021791">
              <w:rPr>
                <w:rFonts w:ascii="Cambria" w:eastAsia="Times New Roman" w:hAnsi="Cambria" w:cs="Arial"/>
                <w:color w:val="000000"/>
                <w:sz w:val="24"/>
                <w:szCs w:val="24"/>
              </w:rPr>
              <w:t xml:space="preserve">    Item 8: Visiting with Parents and Siblings in Foster </w:t>
            </w:r>
            <w:r w:rsidR="00534077" w:rsidRPr="00021791">
              <w:rPr>
                <w:rFonts w:ascii="Cambria" w:eastAsia="Times New Roman" w:hAnsi="Cambria" w:cs="Arial"/>
                <w:color w:val="000000"/>
                <w:sz w:val="24"/>
                <w:szCs w:val="24"/>
              </w:rPr>
              <w:t>Care</w:t>
            </w:r>
            <w:r w:rsidR="00534077" w:rsidRPr="00021791">
              <w:rPr>
                <w:rFonts w:ascii="Cambria" w:eastAsia="Times New Roman" w:hAnsi="Cambria" w:cs="Arial"/>
                <w:color w:val="000000"/>
                <w:sz w:val="20"/>
                <w:szCs w:val="20"/>
              </w:rPr>
              <w:t xml:space="preserve"> (</w:t>
            </w:r>
            <w:r w:rsidRPr="00021791">
              <w:rPr>
                <w:rFonts w:ascii="Cambria" w:eastAsia="Times New Roman" w:hAnsi="Cambria" w:cs="Arial"/>
                <w:color w:val="000000"/>
                <w:sz w:val="20"/>
                <w:szCs w:val="20"/>
              </w:rPr>
              <w:t>N=9</w:t>
            </w:r>
            <w:r w:rsidR="00311416">
              <w:rPr>
                <w:rFonts w:ascii="Cambria" w:eastAsia="Times New Roman" w:hAnsi="Cambria" w:cs="Arial"/>
                <w:color w:val="000000"/>
                <w:sz w:val="20"/>
                <w:szCs w:val="20"/>
              </w:rPr>
              <w:t>3</w:t>
            </w:r>
            <w:r w:rsidRPr="00021791">
              <w:rPr>
                <w:rFonts w:ascii="Cambria" w:eastAsia="Times New Roman" w:hAnsi="Cambria" w:cs="Arial"/>
                <w:color w:val="000000"/>
                <w:sz w:val="20"/>
                <w:szCs w:val="20"/>
              </w:rPr>
              <w:t>)</w:t>
            </w:r>
          </w:p>
        </w:tc>
        <w:tc>
          <w:tcPr>
            <w:tcW w:w="1064" w:type="dxa"/>
            <w:tcBorders>
              <w:top w:val="nil"/>
              <w:left w:val="nil"/>
              <w:bottom w:val="single" w:sz="4" w:space="0" w:color="auto"/>
              <w:right w:val="single" w:sz="8" w:space="0" w:color="auto"/>
            </w:tcBorders>
            <w:shd w:val="clear" w:color="auto" w:fill="auto"/>
            <w:noWrap/>
            <w:vAlign w:val="center"/>
          </w:tcPr>
          <w:p w14:paraId="24F34506" w14:textId="615752C4"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8</w:t>
            </w:r>
            <w:r w:rsidR="00311416">
              <w:rPr>
                <w:rFonts w:asciiTheme="majorHAnsi" w:eastAsia="Times New Roman" w:hAnsiTheme="majorHAnsi"/>
                <w:color w:val="000000"/>
                <w:sz w:val="24"/>
                <w:szCs w:val="24"/>
              </w:rPr>
              <w:t>6</w:t>
            </w:r>
            <w:r w:rsidRPr="00021791">
              <w:rPr>
                <w:rFonts w:asciiTheme="majorHAnsi" w:eastAsia="Times New Roman" w:hAnsiTheme="majorHAnsi"/>
                <w:color w:val="000000"/>
                <w:sz w:val="24"/>
                <w:szCs w:val="24"/>
              </w:rPr>
              <w:t>%</w:t>
            </w:r>
          </w:p>
        </w:tc>
        <w:tc>
          <w:tcPr>
            <w:tcW w:w="1064" w:type="dxa"/>
            <w:tcBorders>
              <w:top w:val="nil"/>
              <w:left w:val="nil"/>
              <w:bottom w:val="single" w:sz="4" w:space="0" w:color="auto"/>
              <w:right w:val="single" w:sz="8" w:space="0" w:color="auto"/>
            </w:tcBorders>
            <w:vAlign w:val="center"/>
          </w:tcPr>
          <w:p w14:paraId="23ABCA34" w14:textId="6E0F13F9"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85</w:t>
            </w:r>
            <w:r w:rsidR="0041336D" w:rsidRPr="00021791">
              <w:rPr>
                <w:rFonts w:asciiTheme="majorHAnsi" w:eastAsia="Times New Roman" w:hAnsiTheme="majorHAnsi"/>
                <w:color w:val="000000"/>
                <w:sz w:val="24"/>
                <w:szCs w:val="24"/>
              </w:rPr>
              <w:t>%</w:t>
            </w:r>
          </w:p>
        </w:tc>
        <w:tc>
          <w:tcPr>
            <w:tcW w:w="1032" w:type="dxa"/>
            <w:tcBorders>
              <w:top w:val="nil"/>
              <w:left w:val="nil"/>
              <w:bottom w:val="single" w:sz="4" w:space="0" w:color="auto"/>
              <w:right w:val="single" w:sz="8" w:space="0" w:color="auto"/>
            </w:tcBorders>
            <w:vAlign w:val="center"/>
          </w:tcPr>
          <w:p w14:paraId="1078EA43" w14:textId="22EECCB2"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64%</w:t>
            </w:r>
          </w:p>
        </w:tc>
      </w:tr>
      <w:tr w:rsidR="0041336D" w:rsidRPr="00021791" w14:paraId="6D7665D0" w14:textId="77777777" w:rsidTr="0031511E">
        <w:trPr>
          <w:trHeight w:val="338"/>
          <w:jc w:val="center"/>
        </w:trPr>
        <w:tc>
          <w:tcPr>
            <w:tcW w:w="7950" w:type="dxa"/>
            <w:tcBorders>
              <w:top w:val="nil"/>
              <w:left w:val="single" w:sz="8" w:space="0" w:color="auto"/>
              <w:bottom w:val="single" w:sz="4" w:space="0" w:color="auto"/>
              <w:right w:val="single" w:sz="4" w:space="0" w:color="auto"/>
            </w:tcBorders>
            <w:shd w:val="clear" w:color="auto" w:fill="auto"/>
            <w:noWrap/>
            <w:vAlign w:val="center"/>
            <w:hideMark/>
          </w:tcPr>
          <w:p w14:paraId="1AD2B640" w14:textId="0A824C76" w:rsidR="0041336D" w:rsidRPr="00021791" w:rsidRDefault="0041336D" w:rsidP="003F05F4">
            <w:pPr>
              <w:spacing w:after="0" w:line="240" w:lineRule="auto"/>
              <w:rPr>
                <w:rFonts w:ascii="Cambria" w:eastAsia="Times New Roman" w:hAnsi="Cambria" w:cs="Arial"/>
                <w:color w:val="000000"/>
                <w:sz w:val="24"/>
                <w:szCs w:val="24"/>
              </w:rPr>
            </w:pPr>
            <w:r w:rsidRPr="00021791">
              <w:rPr>
                <w:rFonts w:ascii="Cambria" w:eastAsia="Times New Roman" w:hAnsi="Cambria" w:cs="Arial"/>
                <w:color w:val="000000"/>
                <w:sz w:val="24"/>
                <w:szCs w:val="24"/>
              </w:rPr>
              <w:t xml:space="preserve">    Item 9: Preserving </w:t>
            </w:r>
            <w:r w:rsidR="00943102" w:rsidRPr="00021791">
              <w:rPr>
                <w:rFonts w:ascii="Cambria" w:eastAsia="Times New Roman" w:hAnsi="Cambria" w:cs="Arial"/>
                <w:color w:val="000000"/>
                <w:sz w:val="24"/>
                <w:szCs w:val="24"/>
              </w:rPr>
              <w:t>Connections</w:t>
            </w:r>
            <w:r w:rsidR="00943102" w:rsidRPr="00021791">
              <w:rPr>
                <w:rFonts w:ascii="Cambria" w:eastAsia="Times New Roman" w:hAnsi="Cambria" w:cs="Arial"/>
                <w:color w:val="000000"/>
                <w:sz w:val="20"/>
                <w:szCs w:val="20"/>
              </w:rPr>
              <w:t xml:space="preserve"> (</w:t>
            </w:r>
            <w:r w:rsidRPr="00021791">
              <w:rPr>
                <w:rFonts w:ascii="Cambria" w:eastAsia="Times New Roman" w:hAnsi="Cambria" w:cs="Arial"/>
                <w:color w:val="000000"/>
                <w:sz w:val="20"/>
                <w:szCs w:val="20"/>
              </w:rPr>
              <w:t>N=118)</w:t>
            </w:r>
          </w:p>
        </w:tc>
        <w:tc>
          <w:tcPr>
            <w:tcW w:w="1064" w:type="dxa"/>
            <w:tcBorders>
              <w:top w:val="nil"/>
              <w:left w:val="nil"/>
              <w:bottom w:val="single" w:sz="4" w:space="0" w:color="auto"/>
              <w:right w:val="single" w:sz="8" w:space="0" w:color="auto"/>
            </w:tcBorders>
            <w:shd w:val="clear" w:color="auto" w:fill="auto"/>
            <w:noWrap/>
            <w:vAlign w:val="center"/>
          </w:tcPr>
          <w:p w14:paraId="20A66834" w14:textId="537E3170"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73</w:t>
            </w:r>
            <w:r w:rsidR="0041336D" w:rsidRPr="00021791">
              <w:rPr>
                <w:rFonts w:asciiTheme="majorHAnsi" w:eastAsia="Times New Roman" w:hAnsiTheme="majorHAnsi"/>
                <w:color w:val="000000"/>
                <w:sz w:val="24"/>
                <w:szCs w:val="24"/>
              </w:rPr>
              <w:t>%</w:t>
            </w:r>
          </w:p>
        </w:tc>
        <w:tc>
          <w:tcPr>
            <w:tcW w:w="1064" w:type="dxa"/>
            <w:tcBorders>
              <w:top w:val="nil"/>
              <w:left w:val="nil"/>
              <w:bottom w:val="single" w:sz="4" w:space="0" w:color="auto"/>
              <w:right w:val="single" w:sz="8" w:space="0" w:color="auto"/>
            </w:tcBorders>
            <w:vAlign w:val="center"/>
          </w:tcPr>
          <w:p w14:paraId="2AF85A26" w14:textId="2B3B8ACD"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67</w:t>
            </w:r>
            <w:r w:rsidR="0041336D" w:rsidRPr="00021791">
              <w:rPr>
                <w:rFonts w:asciiTheme="majorHAnsi" w:eastAsia="Times New Roman" w:hAnsiTheme="majorHAnsi"/>
                <w:color w:val="000000"/>
                <w:sz w:val="24"/>
                <w:szCs w:val="24"/>
              </w:rPr>
              <w:t>%</w:t>
            </w:r>
          </w:p>
        </w:tc>
        <w:tc>
          <w:tcPr>
            <w:tcW w:w="1032" w:type="dxa"/>
            <w:tcBorders>
              <w:top w:val="nil"/>
              <w:left w:val="nil"/>
              <w:bottom w:val="single" w:sz="4" w:space="0" w:color="auto"/>
              <w:right w:val="single" w:sz="8" w:space="0" w:color="auto"/>
            </w:tcBorders>
            <w:vAlign w:val="center"/>
          </w:tcPr>
          <w:p w14:paraId="14A733AE" w14:textId="3E2F9132"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49%</w:t>
            </w:r>
          </w:p>
        </w:tc>
      </w:tr>
      <w:tr w:rsidR="0041336D" w:rsidRPr="00021791" w14:paraId="1175B2B6" w14:textId="77777777" w:rsidTr="0031511E">
        <w:trPr>
          <w:trHeight w:val="338"/>
          <w:jc w:val="center"/>
        </w:trPr>
        <w:tc>
          <w:tcPr>
            <w:tcW w:w="7950" w:type="dxa"/>
            <w:tcBorders>
              <w:top w:val="nil"/>
              <w:left w:val="single" w:sz="8" w:space="0" w:color="auto"/>
              <w:bottom w:val="single" w:sz="4" w:space="0" w:color="auto"/>
              <w:right w:val="single" w:sz="4" w:space="0" w:color="auto"/>
            </w:tcBorders>
            <w:shd w:val="clear" w:color="auto" w:fill="auto"/>
            <w:noWrap/>
            <w:vAlign w:val="center"/>
            <w:hideMark/>
          </w:tcPr>
          <w:p w14:paraId="722CC0F7" w14:textId="6EA5A331" w:rsidR="0041336D" w:rsidRPr="00021791" w:rsidRDefault="0041336D" w:rsidP="003F05F4">
            <w:pPr>
              <w:spacing w:after="0" w:line="240" w:lineRule="auto"/>
              <w:rPr>
                <w:rFonts w:ascii="Cambria" w:eastAsia="Times New Roman" w:hAnsi="Cambria" w:cs="Arial"/>
                <w:color w:val="000000"/>
                <w:sz w:val="24"/>
                <w:szCs w:val="24"/>
              </w:rPr>
            </w:pPr>
            <w:r w:rsidRPr="00021791">
              <w:rPr>
                <w:rFonts w:ascii="Cambria" w:eastAsia="Times New Roman" w:hAnsi="Cambria" w:cs="Arial"/>
                <w:color w:val="000000"/>
                <w:sz w:val="24"/>
                <w:szCs w:val="24"/>
              </w:rPr>
              <w:t xml:space="preserve">    Item 10: Relative </w:t>
            </w:r>
            <w:r w:rsidR="00534077" w:rsidRPr="00021791">
              <w:rPr>
                <w:rFonts w:ascii="Cambria" w:eastAsia="Times New Roman" w:hAnsi="Cambria" w:cs="Arial"/>
                <w:color w:val="000000"/>
                <w:sz w:val="24"/>
                <w:szCs w:val="24"/>
              </w:rPr>
              <w:t>Placement</w:t>
            </w:r>
            <w:r w:rsidR="00534077" w:rsidRPr="00021791">
              <w:rPr>
                <w:rFonts w:ascii="Cambria" w:eastAsia="Times New Roman" w:hAnsi="Cambria" w:cs="Arial"/>
                <w:color w:val="000000"/>
                <w:sz w:val="20"/>
                <w:szCs w:val="20"/>
              </w:rPr>
              <w:t xml:space="preserve"> (</w:t>
            </w:r>
            <w:r w:rsidRPr="00021791">
              <w:rPr>
                <w:rFonts w:ascii="Cambria" w:eastAsia="Times New Roman" w:hAnsi="Cambria" w:cs="Arial"/>
                <w:color w:val="000000"/>
                <w:sz w:val="20"/>
                <w:szCs w:val="20"/>
              </w:rPr>
              <w:t>N=11</w:t>
            </w:r>
            <w:r w:rsidR="00311416">
              <w:rPr>
                <w:rFonts w:ascii="Cambria" w:eastAsia="Times New Roman" w:hAnsi="Cambria" w:cs="Arial"/>
                <w:color w:val="000000"/>
                <w:sz w:val="20"/>
                <w:szCs w:val="20"/>
              </w:rPr>
              <w:t>8</w:t>
            </w:r>
            <w:r w:rsidRPr="00021791">
              <w:rPr>
                <w:rFonts w:ascii="Cambria" w:eastAsia="Times New Roman" w:hAnsi="Cambria" w:cs="Arial"/>
                <w:color w:val="000000"/>
                <w:sz w:val="20"/>
                <w:szCs w:val="20"/>
              </w:rPr>
              <w:t>)</w:t>
            </w:r>
          </w:p>
        </w:tc>
        <w:tc>
          <w:tcPr>
            <w:tcW w:w="1064" w:type="dxa"/>
            <w:tcBorders>
              <w:top w:val="nil"/>
              <w:left w:val="nil"/>
              <w:bottom w:val="single" w:sz="4" w:space="0" w:color="auto"/>
              <w:right w:val="single" w:sz="8" w:space="0" w:color="auto"/>
            </w:tcBorders>
            <w:shd w:val="clear" w:color="auto" w:fill="auto"/>
            <w:noWrap/>
            <w:vAlign w:val="center"/>
          </w:tcPr>
          <w:p w14:paraId="39F3ACDB" w14:textId="4DAD5912"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94</w:t>
            </w:r>
            <w:r w:rsidR="0041336D" w:rsidRPr="00021791">
              <w:rPr>
                <w:rFonts w:asciiTheme="majorHAnsi" w:eastAsia="Times New Roman" w:hAnsiTheme="majorHAnsi"/>
                <w:color w:val="000000"/>
                <w:sz w:val="24"/>
                <w:szCs w:val="24"/>
              </w:rPr>
              <w:t>%</w:t>
            </w:r>
          </w:p>
        </w:tc>
        <w:tc>
          <w:tcPr>
            <w:tcW w:w="1064" w:type="dxa"/>
            <w:tcBorders>
              <w:top w:val="nil"/>
              <w:left w:val="nil"/>
              <w:bottom w:val="single" w:sz="4" w:space="0" w:color="auto"/>
              <w:right w:val="single" w:sz="8" w:space="0" w:color="auto"/>
            </w:tcBorders>
            <w:vAlign w:val="center"/>
          </w:tcPr>
          <w:p w14:paraId="543B2167" w14:textId="0E3EEB0C"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82</w:t>
            </w:r>
            <w:r w:rsidR="0041336D" w:rsidRPr="00021791">
              <w:rPr>
                <w:rFonts w:asciiTheme="majorHAnsi" w:eastAsia="Times New Roman" w:hAnsiTheme="majorHAnsi"/>
                <w:color w:val="000000"/>
                <w:sz w:val="24"/>
                <w:szCs w:val="24"/>
              </w:rPr>
              <w:t>%</w:t>
            </w:r>
          </w:p>
        </w:tc>
        <w:tc>
          <w:tcPr>
            <w:tcW w:w="1032" w:type="dxa"/>
            <w:tcBorders>
              <w:top w:val="nil"/>
              <w:left w:val="nil"/>
              <w:bottom w:val="single" w:sz="4" w:space="0" w:color="auto"/>
              <w:right w:val="single" w:sz="8" w:space="0" w:color="auto"/>
            </w:tcBorders>
            <w:vAlign w:val="center"/>
          </w:tcPr>
          <w:p w14:paraId="7B7D5012" w14:textId="41E1FE69" w:rsidR="0041336D" w:rsidRPr="00021791"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70%</w:t>
            </w:r>
          </w:p>
        </w:tc>
      </w:tr>
      <w:tr w:rsidR="0041336D" w:rsidRPr="00050E79" w14:paraId="1EADB04C" w14:textId="77777777" w:rsidTr="0031511E">
        <w:trPr>
          <w:trHeight w:val="352"/>
          <w:jc w:val="center"/>
        </w:trPr>
        <w:tc>
          <w:tcPr>
            <w:tcW w:w="7950" w:type="dxa"/>
            <w:tcBorders>
              <w:top w:val="nil"/>
              <w:left w:val="single" w:sz="8" w:space="0" w:color="auto"/>
              <w:bottom w:val="single" w:sz="8" w:space="0" w:color="auto"/>
              <w:right w:val="single" w:sz="4" w:space="0" w:color="auto"/>
            </w:tcBorders>
            <w:shd w:val="clear" w:color="auto" w:fill="auto"/>
            <w:noWrap/>
            <w:vAlign w:val="center"/>
            <w:hideMark/>
          </w:tcPr>
          <w:p w14:paraId="6B55A072" w14:textId="124BB28A" w:rsidR="0041336D" w:rsidRPr="00021791" w:rsidRDefault="0041336D" w:rsidP="003F05F4">
            <w:pPr>
              <w:spacing w:after="0" w:line="240" w:lineRule="auto"/>
              <w:rPr>
                <w:rFonts w:ascii="Cambria" w:eastAsia="Times New Roman" w:hAnsi="Cambria" w:cs="Arial"/>
                <w:color w:val="000000"/>
                <w:sz w:val="24"/>
                <w:szCs w:val="24"/>
              </w:rPr>
            </w:pPr>
            <w:r w:rsidRPr="00021791">
              <w:rPr>
                <w:rFonts w:ascii="Cambria" w:eastAsia="Times New Roman" w:hAnsi="Cambria" w:cs="Arial"/>
                <w:color w:val="000000"/>
                <w:sz w:val="24"/>
                <w:szCs w:val="24"/>
              </w:rPr>
              <w:t xml:space="preserve">    Item 11: Relationship of Child in Care with </w:t>
            </w:r>
            <w:r w:rsidR="00534077" w:rsidRPr="00021791">
              <w:rPr>
                <w:rFonts w:ascii="Cambria" w:eastAsia="Times New Roman" w:hAnsi="Cambria" w:cs="Arial"/>
                <w:color w:val="000000"/>
                <w:sz w:val="24"/>
                <w:szCs w:val="24"/>
              </w:rPr>
              <w:t>Parents</w:t>
            </w:r>
            <w:r w:rsidR="00534077" w:rsidRPr="00021791">
              <w:rPr>
                <w:rFonts w:ascii="Cambria" w:eastAsia="Times New Roman" w:hAnsi="Cambria" w:cs="Arial"/>
                <w:color w:val="000000"/>
                <w:sz w:val="20"/>
                <w:szCs w:val="20"/>
              </w:rPr>
              <w:t xml:space="preserve"> (</w:t>
            </w:r>
            <w:r w:rsidRPr="00021791">
              <w:rPr>
                <w:rFonts w:ascii="Cambria" w:eastAsia="Times New Roman" w:hAnsi="Cambria" w:cs="Arial"/>
                <w:color w:val="000000"/>
                <w:sz w:val="20"/>
                <w:szCs w:val="20"/>
              </w:rPr>
              <w:t>N=8</w:t>
            </w:r>
            <w:r w:rsidR="00311416">
              <w:rPr>
                <w:rFonts w:ascii="Cambria" w:eastAsia="Times New Roman" w:hAnsi="Cambria" w:cs="Arial"/>
                <w:color w:val="000000"/>
                <w:sz w:val="20"/>
                <w:szCs w:val="20"/>
              </w:rPr>
              <w:t>1</w:t>
            </w:r>
            <w:r w:rsidRPr="00021791">
              <w:rPr>
                <w:rFonts w:ascii="Cambria" w:eastAsia="Times New Roman" w:hAnsi="Cambria" w:cs="Arial"/>
                <w:color w:val="000000"/>
                <w:sz w:val="20"/>
                <w:szCs w:val="20"/>
              </w:rPr>
              <w:t>)</w:t>
            </w:r>
          </w:p>
        </w:tc>
        <w:tc>
          <w:tcPr>
            <w:tcW w:w="1064" w:type="dxa"/>
            <w:tcBorders>
              <w:top w:val="nil"/>
              <w:left w:val="nil"/>
              <w:bottom w:val="single" w:sz="8" w:space="0" w:color="auto"/>
              <w:right w:val="single" w:sz="8" w:space="0" w:color="auto"/>
            </w:tcBorders>
            <w:shd w:val="clear" w:color="auto" w:fill="auto"/>
            <w:noWrap/>
            <w:vAlign w:val="center"/>
          </w:tcPr>
          <w:p w14:paraId="4EF91552" w14:textId="0F727AEF"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54</w:t>
            </w:r>
            <w:r w:rsidR="0041336D" w:rsidRPr="00021791">
              <w:rPr>
                <w:rFonts w:asciiTheme="majorHAnsi" w:eastAsia="Times New Roman" w:hAnsiTheme="majorHAnsi"/>
                <w:color w:val="000000"/>
                <w:sz w:val="24"/>
                <w:szCs w:val="24"/>
              </w:rPr>
              <w:t>%</w:t>
            </w:r>
          </w:p>
        </w:tc>
        <w:tc>
          <w:tcPr>
            <w:tcW w:w="1064" w:type="dxa"/>
            <w:tcBorders>
              <w:top w:val="nil"/>
              <w:left w:val="nil"/>
              <w:bottom w:val="single" w:sz="8" w:space="0" w:color="auto"/>
              <w:right w:val="single" w:sz="8" w:space="0" w:color="auto"/>
            </w:tcBorders>
            <w:vAlign w:val="center"/>
          </w:tcPr>
          <w:p w14:paraId="44B3D7CF" w14:textId="35E2D4A7" w:rsidR="0041336D" w:rsidRPr="00021791" w:rsidRDefault="00311416" w:rsidP="003F05F4">
            <w:pPr>
              <w:spacing w:after="0" w:line="240" w:lineRule="auto"/>
              <w:jc w:val="center"/>
              <w:rPr>
                <w:rFonts w:asciiTheme="majorHAnsi" w:eastAsia="Times New Roman" w:hAnsiTheme="majorHAnsi" w:cs="Arial"/>
                <w:color w:val="000000"/>
                <w:sz w:val="24"/>
                <w:szCs w:val="24"/>
              </w:rPr>
            </w:pPr>
            <w:r>
              <w:rPr>
                <w:rFonts w:asciiTheme="majorHAnsi" w:eastAsia="Times New Roman" w:hAnsiTheme="majorHAnsi"/>
                <w:color w:val="000000"/>
                <w:sz w:val="24"/>
                <w:szCs w:val="24"/>
              </w:rPr>
              <w:t>33</w:t>
            </w:r>
            <w:r w:rsidR="0041336D" w:rsidRPr="00021791">
              <w:rPr>
                <w:rFonts w:asciiTheme="majorHAnsi" w:eastAsia="Times New Roman" w:hAnsiTheme="majorHAnsi"/>
                <w:color w:val="000000"/>
                <w:sz w:val="24"/>
                <w:szCs w:val="24"/>
              </w:rPr>
              <w:t>%</w:t>
            </w:r>
          </w:p>
        </w:tc>
        <w:tc>
          <w:tcPr>
            <w:tcW w:w="1032" w:type="dxa"/>
            <w:tcBorders>
              <w:top w:val="nil"/>
              <w:left w:val="nil"/>
              <w:bottom w:val="single" w:sz="8" w:space="0" w:color="auto"/>
              <w:right w:val="single" w:sz="8" w:space="0" w:color="auto"/>
            </w:tcBorders>
            <w:vAlign w:val="center"/>
          </w:tcPr>
          <w:p w14:paraId="426B050E" w14:textId="15E9D46B" w:rsidR="0041336D" w:rsidRPr="0041336D" w:rsidRDefault="0041336D" w:rsidP="003F05F4">
            <w:pPr>
              <w:spacing w:after="0" w:line="240" w:lineRule="auto"/>
              <w:jc w:val="center"/>
              <w:rPr>
                <w:rFonts w:asciiTheme="majorHAnsi" w:eastAsia="Times New Roman" w:hAnsiTheme="majorHAnsi" w:cs="Arial"/>
                <w:color w:val="000000"/>
                <w:sz w:val="24"/>
                <w:szCs w:val="24"/>
              </w:rPr>
            </w:pPr>
            <w:r w:rsidRPr="00021791">
              <w:rPr>
                <w:rFonts w:asciiTheme="majorHAnsi" w:eastAsia="Times New Roman" w:hAnsiTheme="majorHAnsi"/>
                <w:color w:val="000000"/>
                <w:sz w:val="24"/>
                <w:szCs w:val="24"/>
              </w:rPr>
              <w:t>48%</w:t>
            </w:r>
          </w:p>
        </w:tc>
      </w:tr>
    </w:tbl>
    <w:p w14:paraId="708D3856" w14:textId="77777777" w:rsidR="00D273DB" w:rsidRDefault="00D273DB" w:rsidP="0031511E">
      <w:pPr>
        <w:spacing w:after="0" w:line="240" w:lineRule="auto"/>
        <w:jc w:val="both"/>
        <w:rPr>
          <w:rFonts w:ascii="Cambria" w:hAnsi="Cambria"/>
          <w:i/>
          <w:smallCaps/>
          <w:sz w:val="24"/>
          <w:szCs w:val="24"/>
        </w:rPr>
      </w:pPr>
    </w:p>
    <w:p w14:paraId="715E2A79" w14:textId="77777777" w:rsidR="005F7D87" w:rsidRDefault="005F7D87" w:rsidP="005F7D87">
      <w:pPr>
        <w:spacing w:after="0" w:line="240" w:lineRule="auto"/>
        <w:jc w:val="both"/>
        <w:rPr>
          <w:rFonts w:ascii="Cambria" w:hAnsi="Cambria"/>
          <w:i/>
          <w:smallCaps/>
          <w:sz w:val="24"/>
          <w:szCs w:val="24"/>
        </w:rPr>
      </w:pPr>
    </w:p>
    <w:p w14:paraId="5B71BF90" w14:textId="3C96619C" w:rsidR="00EC1142" w:rsidRDefault="00EC1142" w:rsidP="00EC1142">
      <w:pPr>
        <w:spacing w:after="0" w:line="240" w:lineRule="auto"/>
        <w:jc w:val="both"/>
        <w:rPr>
          <w:rFonts w:ascii="Cambria" w:hAnsi="Cambria"/>
          <w:i/>
          <w:smallCaps/>
          <w:sz w:val="24"/>
          <w:szCs w:val="24"/>
        </w:rPr>
      </w:pPr>
      <w:r>
        <w:rPr>
          <w:rFonts w:ascii="Cambria" w:hAnsi="Cambria"/>
          <w:i/>
          <w:smallCaps/>
          <w:sz w:val="24"/>
          <w:szCs w:val="24"/>
        </w:rPr>
        <w:t>Strength</w:t>
      </w:r>
    </w:p>
    <w:p w14:paraId="3433B96C" w14:textId="77777777" w:rsidR="00655CF2" w:rsidRDefault="00655CF2" w:rsidP="00655CF2">
      <w:pPr>
        <w:spacing w:after="0" w:line="240" w:lineRule="auto"/>
        <w:jc w:val="both"/>
        <w:rPr>
          <w:rFonts w:ascii="Cambria" w:hAnsi="Cambria"/>
          <w:iCs/>
          <w:smallCaps/>
          <w:sz w:val="24"/>
          <w:szCs w:val="24"/>
        </w:rPr>
      </w:pPr>
    </w:p>
    <w:p w14:paraId="423C1EA9" w14:textId="7411CEE8" w:rsidR="00655CF2" w:rsidRPr="00655CF2" w:rsidRDefault="00655CF2" w:rsidP="00655CF2">
      <w:pPr>
        <w:numPr>
          <w:ilvl w:val="0"/>
          <w:numId w:val="1"/>
        </w:numPr>
        <w:spacing w:after="0" w:line="240" w:lineRule="auto"/>
        <w:jc w:val="both"/>
        <w:rPr>
          <w:rFonts w:asciiTheme="majorHAnsi" w:hAnsiTheme="majorHAnsi" w:cs="Arial"/>
          <w:sz w:val="24"/>
          <w:szCs w:val="24"/>
        </w:rPr>
      </w:pPr>
      <w:r w:rsidRPr="00655CF2">
        <w:rPr>
          <w:rFonts w:asciiTheme="majorHAnsi" w:hAnsiTheme="majorHAnsi" w:cs="Arial"/>
          <w:b/>
          <w:sz w:val="24"/>
          <w:szCs w:val="24"/>
        </w:rPr>
        <w:t>Relative Placement</w:t>
      </w:r>
      <w:r w:rsidR="000843FF">
        <w:rPr>
          <w:rFonts w:asciiTheme="majorHAnsi" w:hAnsiTheme="majorHAnsi" w:cs="Arial"/>
          <w:b/>
          <w:sz w:val="24"/>
          <w:szCs w:val="24"/>
        </w:rPr>
        <w:t xml:space="preserve"> </w:t>
      </w:r>
      <w:r>
        <w:rPr>
          <w:rFonts w:asciiTheme="majorHAnsi" w:hAnsiTheme="majorHAnsi" w:cs="Arial"/>
          <w:bCs/>
          <w:sz w:val="24"/>
          <w:szCs w:val="24"/>
        </w:rPr>
        <w:t xml:space="preserve">– </w:t>
      </w:r>
      <w:r w:rsidR="00C924DA">
        <w:rPr>
          <w:rFonts w:ascii="Cambria" w:hAnsi="Cambria" w:cs="Arial"/>
          <w:bCs/>
          <w:sz w:val="24"/>
          <w:szCs w:val="24"/>
        </w:rPr>
        <w:t>DC</w:t>
      </w:r>
      <w:r w:rsidR="005D6E47">
        <w:rPr>
          <w:rFonts w:ascii="Cambria" w:hAnsi="Cambria" w:cs="Arial"/>
          <w:bCs/>
          <w:sz w:val="24"/>
          <w:szCs w:val="24"/>
        </w:rPr>
        <w:t>F</w:t>
      </w:r>
      <w:r w:rsidR="00C924DA">
        <w:rPr>
          <w:rFonts w:ascii="Cambria" w:hAnsi="Cambria" w:cs="Arial"/>
          <w:bCs/>
          <w:sz w:val="24"/>
          <w:szCs w:val="24"/>
        </w:rPr>
        <w:t xml:space="preserve">S </w:t>
      </w:r>
      <w:r w:rsidR="008F7826">
        <w:rPr>
          <w:rFonts w:ascii="Cambria" w:hAnsi="Cambria" w:cs="Arial"/>
          <w:bCs/>
          <w:sz w:val="24"/>
          <w:szCs w:val="24"/>
        </w:rPr>
        <w:t>made ongoing efforts to identify, locate</w:t>
      </w:r>
      <w:r w:rsidR="00E32AB8">
        <w:rPr>
          <w:rFonts w:ascii="Cambria" w:hAnsi="Cambria" w:cs="Arial"/>
          <w:bCs/>
          <w:sz w:val="24"/>
          <w:szCs w:val="24"/>
        </w:rPr>
        <w:t>, inform</w:t>
      </w:r>
      <w:r w:rsidR="008F7826">
        <w:rPr>
          <w:rFonts w:ascii="Cambria" w:hAnsi="Cambria" w:cs="Arial"/>
          <w:bCs/>
          <w:sz w:val="24"/>
          <w:szCs w:val="24"/>
        </w:rPr>
        <w:t xml:space="preserve"> and evaluate maternal and paternal relatives as potential placements for the children (Item 10) </w:t>
      </w:r>
      <w:r w:rsidR="00746B95">
        <w:rPr>
          <w:rFonts w:ascii="Cambria" w:hAnsi="Cambria" w:cs="Arial"/>
          <w:bCs/>
          <w:sz w:val="24"/>
          <w:szCs w:val="24"/>
        </w:rPr>
        <w:t xml:space="preserve">in 94 percent of </w:t>
      </w:r>
      <w:r w:rsidR="00DB2AA6">
        <w:rPr>
          <w:rFonts w:ascii="Cambria" w:hAnsi="Cambria" w:cs="Arial"/>
          <w:bCs/>
          <w:sz w:val="24"/>
          <w:szCs w:val="24"/>
        </w:rPr>
        <w:t xml:space="preserve">cases reviewed. </w:t>
      </w:r>
      <w:r w:rsidR="00E32AB8">
        <w:rPr>
          <w:rFonts w:ascii="Cambria" w:hAnsi="Cambria" w:cs="Arial"/>
          <w:bCs/>
          <w:sz w:val="24"/>
          <w:szCs w:val="24"/>
        </w:rPr>
        <w:t>This measure includes efforts to identify and evaluate relatives as potential place</w:t>
      </w:r>
      <w:r w:rsidR="00C018A5">
        <w:rPr>
          <w:rFonts w:ascii="Cambria" w:hAnsi="Cambria" w:cs="Arial"/>
          <w:bCs/>
          <w:sz w:val="24"/>
          <w:szCs w:val="24"/>
        </w:rPr>
        <w:t xml:space="preserve">ments, </w:t>
      </w:r>
      <w:r w:rsidR="00507C25">
        <w:rPr>
          <w:rFonts w:ascii="Cambria" w:hAnsi="Cambria" w:cs="Arial"/>
          <w:bCs/>
          <w:sz w:val="24"/>
          <w:szCs w:val="24"/>
        </w:rPr>
        <w:t>not just place children in a relative home</w:t>
      </w:r>
      <w:r w:rsidR="00E32AB8">
        <w:rPr>
          <w:rFonts w:ascii="Cambria" w:hAnsi="Cambria" w:cs="Arial"/>
          <w:bCs/>
          <w:sz w:val="24"/>
          <w:szCs w:val="24"/>
        </w:rPr>
        <w:t xml:space="preserve">. </w:t>
      </w:r>
      <w:r w:rsidR="00B87498">
        <w:rPr>
          <w:rFonts w:ascii="Cambria" w:hAnsi="Cambria" w:cs="Arial"/>
          <w:bCs/>
          <w:sz w:val="24"/>
          <w:szCs w:val="24"/>
        </w:rPr>
        <w:t xml:space="preserve">The states performance for this item has shown a </w:t>
      </w:r>
      <w:r w:rsidR="00DB2AA6">
        <w:rPr>
          <w:rFonts w:ascii="Cambria" w:hAnsi="Cambria" w:cs="Arial"/>
          <w:bCs/>
          <w:sz w:val="24"/>
          <w:szCs w:val="24"/>
        </w:rPr>
        <w:t>substantial i</w:t>
      </w:r>
      <w:r w:rsidR="00AC6D97">
        <w:rPr>
          <w:rFonts w:ascii="Cambria" w:hAnsi="Cambria" w:cs="Arial"/>
          <w:bCs/>
          <w:sz w:val="24"/>
          <w:szCs w:val="24"/>
        </w:rPr>
        <w:t xml:space="preserve">mprovement </w:t>
      </w:r>
      <w:r w:rsidR="00A522D8">
        <w:rPr>
          <w:rFonts w:ascii="Cambria" w:hAnsi="Cambria" w:cs="Arial"/>
          <w:bCs/>
          <w:sz w:val="24"/>
          <w:szCs w:val="24"/>
        </w:rPr>
        <w:t xml:space="preserve">from both SFY </w:t>
      </w:r>
      <w:r w:rsidR="006A2A76">
        <w:rPr>
          <w:rFonts w:ascii="Cambria" w:hAnsi="Cambria" w:cs="Arial"/>
          <w:bCs/>
          <w:sz w:val="24"/>
          <w:szCs w:val="24"/>
        </w:rPr>
        <w:t xml:space="preserve">2018 and the Round 3 CFSR </w:t>
      </w:r>
      <w:r w:rsidR="005D6E47">
        <w:rPr>
          <w:rFonts w:ascii="Cambria" w:hAnsi="Cambria" w:cs="Arial"/>
          <w:bCs/>
          <w:sz w:val="24"/>
          <w:szCs w:val="24"/>
        </w:rPr>
        <w:t xml:space="preserve">by </w:t>
      </w:r>
      <w:r w:rsidR="007E2967">
        <w:rPr>
          <w:rFonts w:ascii="Cambria" w:hAnsi="Cambria" w:cs="Arial"/>
          <w:bCs/>
          <w:sz w:val="24"/>
          <w:szCs w:val="24"/>
        </w:rPr>
        <w:t xml:space="preserve">12 and </w:t>
      </w:r>
      <w:r w:rsidR="00A449FC">
        <w:rPr>
          <w:rFonts w:ascii="Cambria" w:hAnsi="Cambria" w:cs="Arial"/>
          <w:bCs/>
          <w:sz w:val="24"/>
          <w:szCs w:val="24"/>
        </w:rPr>
        <w:t xml:space="preserve">24 percentage points, respectively. </w:t>
      </w:r>
      <w:r w:rsidR="00746B95">
        <w:rPr>
          <w:rFonts w:ascii="Cambria" w:hAnsi="Cambria" w:cs="Arial"/>
          <w:bCs/>
          <w:sz w:val="24"/>
          <w:szCs w:val="24"/>
        </w:rPr>
        <w:t xml:space="preserve"> </w:t>
      </w:r>
      <w:r w:rsidR="007A5799">
        <w:rPr>
          <w:rFonts w:ascii="Cambria" w:hAnsi="Cambria" w:cs="Arial"/>
          <w:bCs/>
          <w:sz w:val="24"/>
          <w:szCs w:val="24"/>
        </w:rPr>
        <w:t xml:space="preserve">All but one of the Areas (Area </w:t>
      </w:r>
      <w:r w:rsidR="003B70AC">
        <w:rPr>
          <w:rFonts w:ascii="Cambria" w:hAnsi="Cambria" w:cs="Arial"/>
          <w:bCs/>
          <w:sz w:val="24"/>
          <w:szCs w:val="24"/>
        </w:rPr>
        <w:t>9) were rated as a strength</w:t>
      </w:r>
      <w:r w:rsidR="005D6E47">
        <w:rPr>
          <w:rFonts w:ascii="Cambria" w:hAnsi="Cambria" w:cs="Arial"/>
          <w:bCs/>
          <w:sz w:val="24"/>
          <w:szCs w:val="24"/>
        </w:rPr>
        <w:t xml:space="preserve"> for this item</w:t>
      </w:r>
      <w:r w:rsidR="003B70AC">
        <w:rPr>
          <w:rFonts w:ascii="Cambria" w:hAnsi="Cambria" w:cs="Arial"/>
          <w:bCs/>
          <w:sz w:val="24"/>
          <w:szCs w:val="24"/>
        </w:rPr>
        <w:t xml:space="preserve"> </w:t>
      </w:r>
      <w:r w:rsidR="0037504E">
        <w:rPr>
          <w:rFonts w:ascii="Cambria" w:hAnsi="Cambria" w:cs="Arial"/>
          <w:bCs/>
          <w:sz w:val="24"/>
          <w:szCs w:val="24"/>
        </w:rPr>
        <w:t>and four Areas (1, 5, 6, and</w:t>
      </w:r>
      <w:r w:rsidR="00BC7060">
        <w:rPr>
          <w:rFonts w:ascii="Cambria" w:hAnsi="Cambria" w:cs="Arial"/>
          <w:bCs/>
          <w:sz w:val="24"/>
          <w:szCs w:val="24"/>
        </w:rPr>
        <w:t xml:space="preserve"> 10) were wholly successful in </w:t>
      </w:r>
      <w:r w:rsidR="00C018A5">
        <w:rPr>
          <w:rFonts w:ascii="Cambria" w:hAnsi="Cambria" w:cs="Arial"/>
          <w:bCs/>
          <w:sz w:val="24"/>
          <w:szCs w:val="24"/>
        </w:rPr>
        <w:t xml:space="preserve">identifying and evaluating </w:t>
      </w:r>
      <w:r w:rsidR="00BC7060">
        <w:rPr>
          <w:rFonts w:ascii="Cambria" w:hAnsi="Cambria" w:cs="Arial"/>
          <w:bCs/>
          <w:sz w:val="24"/>
          <w:szCs w:val="24"/>
        </w:rPr>
        <w:t>relative</w:t>
      </w:r>
      <w:r w:rsidR="00C018A5">
        <w:rPr>
          <w:rFonts w:ascii="Cambria" w:hAnsi="Cambria" w:cs="Arial"/>
          <w:bCs/>
          <w:sz w:val="24"/>
          <w:szCs w:val="24"/>
        </w:rPr>
        <w:t>s as potential</w:t>
      </w:r>
      <w:r w:rsidR="00BC7060">
        <w:rPr>
          <w:rFonts w:ascii="Cambria" w:hAnsi="Cambria" w:cs="Arial"/>
          <w:bCs/>
          <w:sz w:val="24"/>
          <w:szCs w:val="24"/>
        </w:rPr>
        <w:t xml:space="preserve"> placement</w:t>
      </w:r>
      <w:r w:rsidR="00C018A5">
        <w:rPr>
          <w:rFonts w:ascii="Cambria" w:hAnsi="Cambria" w:cs="Arial"/>
          <w:bCs/>
          <w:sz w:val="24"/>
          <w:szCs w:val="24"/>
        </w:rPr>
        <w:t>s</w:t>
      </w:r>
      <w:r w:rsidR="00BC7060">
        <w:rPr>
          <w:rFonts w:ascii="Cambria" w:hAnsi="Cambria" w:cs="Arial"/>
          <w:bCs/>
          <w:sz w:val="24"/>
          <w:szCs w:val="24"/>
        </w:rPr>
        <w:t xml:space="preserve"> </w:t>
      </w:r>
      <w:r w:rsidR="00834A1C">
        <w:rPr>
          <w:rFonts w:ascii="Cambria" w:hAnsi="Cambria" w:cs="Arial"/>
          <w:bCs/>
          <w:sz w:val="24"/>
          <w:szCs w:val="24"/>
        </w:rPr>
        <w:t>in all cases</w:t>
      </w:r>
      <w:r w:rsidR="005D6E47">
        <w:rPr>
          <w:rFonts w:ascii="Cambria" w:hAnsi="Cambria" w:cs="Arial"/>
          <w:bCs/>
          <w:sz w:val="24"/>
          <w:szCs w:val="24"/>
        </w:rPr>
        <w:t xml:space="preserve"> reviewed</w:t>
      </w:r>
      <w:r w:rsidR="00834A1C">
        <w:rPr>
          <w:rFonts w:ascii="Cambria" w:hAnsi="Cambria" w:cs="Arial"/>
          <w:bCs/>
          <w:sz w:val="24"/>
          <w:szCs w:val="24"/>
        </w:rPr>
        <w:t xml:space="preserve">. </w:t>
      </w:r>
      <w:r w:rsidR="00126AA9">
        <w:rPr>
          <w:rFonts w:ascii="Cambria" w:hAnsi="Cambria" w:cs="Arial"/>
          <w:bCs/>
          <w:sz w:val="24"/>
          <w:szCs w:val="24"/>
        </w:rPr>
        <w:t xml:space="preserve">While Area </w:t>
      </w:r>
      <w:r w:rsidR="004D7C99">
        <w:rPr>
          <w:rFonts w:ascii="Cambria" w:hAnsi="Cambria" w:cs="Arial"/>
          <w:bCs/>
          <w:sz w:val="24"/>
          <w:szCs w:val="24"/>
        </w:rPr>
        <w:t xml:space="preserve">8 </w:t>
      </w:r>
      <w:r w:rsidR="00126AA9">
        <w:rPr>
          <w:rFonts w:ascii="Cambria" w:hAnsi="Cambria" w:cs="Arial"/>
          <w:bCs/>
          <w:sz w:val="24"/>
          <w:szCs w:val="24"/>
        </w:rPr>
        <w:t xml:space="preserve">was rated as a strength, with a </w:t>
      </w:r>
      <w:r w:rsidR="005D6E47">
        <w:rPr>
          <w:rFonts w:ascii="Cambria" w:hAnsi="Cambria" w:cs="Arial"/>
          <w:bCs/>
          <w:sz w:val="24"/>
          <w:szCs w:val="24"/>
        </w:rPr>
        <w:t xml:space="preserve">success </w:t>
      </w:r>
      <w:r w:rsidR="00126AA9">
        <w:rPr>
          <w:rFonts w:ascii="Cambria" w:hAnsi="Cambria" w:cs="Arial"/>
          <w:bCs/>
          <w:sz w:val="24"/>
          <w:szCs w:val="24"/>
        </w:rPr>
        <w:t xml:space="preserve">rate </w:t>
      </w:r>
      <w:r w:rsidR="00CF3810">
        <w:rPr>
          <w:rFonts w:ascii="Cambria" w:hAnsi="Cambria" w:cs="Arial"/>
          <w:bCs/>
          <w:sz w:val="24"/>
          <w:szCs w:val="24"/>
        </w:rPr>
        <w:t xml:space="preserve">of 92 percent, </w:t>
      </w:r>
      <w:r w:rsidR="005D6E47">
        <w:rPr>
          <w:rFonts w:ascii="Cambria" w:hAnsi="Cambria" w:cs="Arial"/>
          <w:bCs/>
          <w:sz w:val="24"/>
          <w:szCs w:val="24"/>
        </w:rPr>
        <w:t xml:space="preserve">the staff’s </w:t>
      </w:r>
      <w:r w:rsidR="00CF3810">
        <w:rPr>
          <w:rFonts w:ascii="Cambria" w:hAnsi="Cambria" w:cs="Arial"/>
          <w:bCs/>
          <w:sz w:val="24"/>
          <w:szCs w:val="24"/>
        </w:rPr>
        <w:t>performance decrease</w:t>
      </w:r>
      <w:r w:rsidR="005D6E47">
        <w:rPr>
          <w:rFonts w:ascii="Cambria" w:hAnsi="Cambria" w:cs="Arial"/>
          <w:bCs/>
          <w:sz w:val="24"/>
          <w:szCs w:val="24"/>
        </w:rPr>
        <w:t>d</w:t>
      </w:r>
      <w:r w:rsidR="00CF3810">
        <w:rPr>
          <w:rFonts w:ascii="Cambria" w:hAnsi="Cambria" w:cs="Arial"/>
          <w:bCs/>
          <w:sz w:val="24"/>
          <w:szCs w:val="24"/>
        </w:rPr>
        <w:t xml:space="preserve"> </w:t>
      </w:r>
      <w:r w:rsidR="005D6E47">
        <w:rPr>
          <w:rFonts w:ascii="Cambria" w:hAnsi="Cambria" w:cs="Arial"/>
          <w:bCs/>
          <w:sz w:val="24"/>
          <w:szCs w:val="24"/>
        </w:rPr>
        <w:t xml:space="preserve">by </w:t>
      </w:r>
      <w:r w:rsidR="00A14CC9">
        <w:rPr>
          <w:rFonts w:ascii="Cambria" w:hAnsi="Cambria" w:cs="Arial"/>
          <w:bCs/>
          <w:sz w:val="24"/>
          <w:szCs w:val="24"/>
        </w:rPr>
        <w:t xml:space="preserve">8 percentage points from the SFY 2018, where it was wholly successful. </w:t>
      </w:r>
      <w:r w:rsidR="00A446A4" w:rsidRPr="00A446A4">
        <w:rPr>
          <w:rFonts w:ascii="Cambria" w:hAnsi="Cambria" w:cs="Arial"/>
          <w:bCs/>
          <w:sz w:val="24"/>
          <w:szCs w:val="24"/>
        </w:rPr>
        <w:t>The one</w:t>
      </w:r>
      <w:r w:rsidR="005D6E47">
        <w:rPr>
          <w:rFonts w:ascii="Cambria" w:hAnsi="Cambria" w:cs="Arial"/>
          <w:bCs/>
          <w:sz w:val="24"/>
          <w:szCs w:val="24"/>
        </w:rPr>
        <w:t xml:space="preserve"> case found</w:t>
      </w:r>
      <w:r w:rsidR="00A446A4" w:rsidRPr="00A446A4">
        <w:rPr>
          <w:rFonts w:ascii="Cambria" w:hAnsi="Cambria" w:cs="Arial"/>
          <w:bCs/>
          <w:sz w:val="24"/>
          <w:szCs w:val="24"/>
        </w:rPr>
        <w:t xml:space="preserve"> deficien</w:t>
      </w:r>
      <w:r w:rsidR="005D6E47">
        <w:rPr>
          <w:rFonts w:ascii="Cambria" w:hAnsi="Cambria" w:cs="Arial"/>
          <w:bCs/>
          <w:sz w:val="24"/>
          <w:szCs w:val="24"/>
        </w:rPr>
        <w:t>t</w:t>
      </w:r>
      <w:r w:rsidR="00A446A4" w:rsidRPr="00A446A4">
        <w:rPr>
          <w:rFonts w:ascii="Cambria" w:hAnsi="Cambria" w:cs="Arial"/>
          <w:bCs/>
          <w:sz w:val="24"/>
          <w:szCs w:val="24"/>
        </w:rPr>
        <w:t xml:space="preserve"> </w:t>
      </w:r>
      <w:r w:rsidR="00A446A4">
        <w:rPr>
          <w:rFonts w:ascii="Cambria" w:hAnsi="Cambria" w:cs="Arial"/>
          <w:bCs/>
          <w:sz w:val="24"/>
          <w:szCs w:val="24"/>
        </w:rPr>
        <w:t xml:space="preserve">in Area 8 </w:t>
      </w:r>
      <w:r w:rsidR="00A446A4" w:rsidRPr="00A446A4">
        <w:rPr>
          <w:rFonts w:ascii="Cambria" w:hAnsi="Cambria" w:cs="Arial"/>
          <w:bCs/>
          <w:sz w:val="24"/>
          <w:szCs w:val="24"/>
        </w:rPr>
        <w:t>resulted from there being no indication that there were any efforts made to evaluate maternal relatives or follow up with one who submitted paperwork for placement prior to the parent’s termination of parental rights (TPR).</w:t>
      </w:r>
    </w:p>
    <w:p w14:paraId="5A9EDD31" w14:textId="5DA7751D" w:rsidR="00BB75D4" w:rsidRPr="000843FF" w:rsidRDefault="00BB75D4" w:rsidP="005F7D87">
      <w:pPr>
        <w:spacing w:after="0" w:line="240" w:lineRule="auto"/>
        <w:jc w:val="both"/>
        <w:rPr>
          <w:rFonts w:ascii="Cambria" w:hAnsi="Cambria"/>
          <w:iCs/>
          <w:smallCaps/>
          <w:sz w:val="24"/>
          <w:szCs w:val="24"/>
        </w:rPr>
      </w:pPr>
    </w:p>
    <w:p w14:paraId="23641100" w14:textId="77777777" w:rsidR="00655CF2" w:rsidRDefault="00655CF2" w:rsidP="005F7D87">
      <w:pPr>
        <w:spacing w:after="0" w:line="240" w:lineRule="auto"/>
        <w:jc w:val="both"/>
        <w:rPr>
          <w:rFonts w:ascii="Cambria" w:hAnsi="Cambria"/>
          <w:i/>
          <w:smallCaps/>
          <w:sz w:val="24"/>
          <w:szCs w:val="24"/>
        </w:rPr>
      </w:pPr>
    </w:p>
    <w:p w14:paraId="50CE6D99" w14:textId="6AC5052A" w:rsidR="005F7D87" w:rsidRDefault="005F7D87" w:rsidP="005F7D87">
      <w:pPr>
        <w:spacing w:after="0" w:line="240" w:lineRule="auto"/>
        <w:jc w:val="both"/>
        <w:rPr>
          <w:rFonts w:ascii="Cambria" w:hAnsi="Cambria"/>
          <w:i/>
          <w:smallCaps/>
          <w:sz w:val="24"/>
          <w:szCs w:val="24"/>
        </w:rPr>
      </w:pPr>
      <w:r>
        <w:rPr>
          <w:rFonts w:ascii="Cambria" w:hAnsi="Cambria"/>
          <w:i/>
          <w:smallCaps/>
          <w:sz w:val="24"/>
          <w:szCs w:val="24"/>
        </w:rPr>
        <w:t>Near Strength</w:t>
      </w:r>
    </w:p>
    <w:p w14:paraId="0725EA05" w14:textId="77777777" w:rsidR="005F7D87" w:rsidRDefault="005F7D87" w:rsidP="0031511E">
      <w:pPr>
        <w:spacing w:after="0" w:line="240" w:lineRule="auto"/>
        <w:jc w:val="both"/>
        <w:rPr>
          <w:rFonts w:ascii="Cambria" w:hAnsi="Cambria"/>
          <w:i/>
          <w:smallCaps/>
          <w:sz w:val="24"/>
          <w:szCs w:val="24"/>
        </w:rPr>
      </w:pPr>
    </w:p>
    <w:p w14:paraId="353EEC11" w14:textId="65EE66C3" w:rsidR="00655CF2" w:rsidRPr="00655CF2" w:rsidRDefault="00655CF2" w:rsidP="00655CF2">
      <w:pPr>
        <w:numPr>
          <w:ilvl w:val="0"/>
          <w:numId w:val="14"/>
        </w:numPr>
        <w:spacing w:after="0" w:line="240" w:lineRule="auto"/>
        <w:jc w:val="both"/>
        <w:rPr>
          <w:rFonts w:asciiTheme="majorHAnsi" w:hAnsiTheme="majorHAnsi" w:cs="Arial"/>
          <w:sz w:val="24"/>
          <w:szCs w:val="24"/>
        </w:rPr>
      </w:pPr>
      <w:r>
        <w:rPr>
          <w:rFonts w:asciiTheme="majorHAnsi" w:hAnsiTheme="majorHAnsi" w:cs="Arial"/>
          <w:b/>
          <w:sz w:val="24"/>
          <w:szCs w:val="24"/>
        </w:rPr>
        <w:t xml:space="preserve">Visiting with Parents and Siblings in Foster Care </w:t>
      </w:r>
      <w:r>
        <w:rPr>
          <w:rFonts w:asciiTheme="majorHAnsi" w:hAnsiTheme="majorHAnsi" w:cs="Arial"/>
          <w:bCs/>
          <w:sz w:val="24"/>
          <w:szCs w:val="24"/>
        </w:rPr>
        <w:t xml:space="preserve">– </w:t>
      </w:r>
      <w:r w:rsidR="0060208C">
        <w:rPr>
          <w:rFonts w:asciiTheme="majorHAnsi" w:hAnsiTheme="majorHAnsi" w:cs="Arial"/>
          <w:bCs/>
          <w:sz w:val="24"/>
          <w:szCs w:val="24"/>
        </w:rPr>
        <w:t>D</w:t>
      </w:r>
      <w:r w:rsidR="00F55754">
        <w:rPr>
          <w:rFonts w:asciiTheme="majorHAnsi" w:hAnsiTheme="majorHAnsi" w:cs="Arial"/>
          <w:bCs/>
          <w:sz w:val="24"/>
          <w:szCs w:val="24"/>
        </w:rPr>
        <w:t>CFS</w:t>
      </w:r>
      <w:r w:rsidR="0060208C">
        <w:rPr>
          <w:rFonts w:asciiTheme="majorHAnsi" w:hAnsiTheme="majorHAnsi" w:cs="Arial"/>
          <w:bCs/>
          <w:sz w:val="24"/>
          <w:szCs w:val="24"/>
        </w:rPr>
        <w:t xml:space="preserve"> staff did well </w:t>
      </w:r>
      <w:r w:rsidR="005F7646">
        <w:rPr>
          <w:rFonts w:asciiTheme="majorHAnsi" w:hAnsiTheme="majorHAnsi" w:cs="Arial"/>
          <w:bCs/>
          <w:sz w:val="24"/>
          <w:szCs w:val="24"/>
        </w:rPr>
        <w:t xml:space="preserve">with having </w:t>
      </w:r>
      <w:r w:rsidR="00565F8D">
        <w:rPr>
          <w:rFonts w:asciiTheme="majorHAnsi" w:hAnsiTheme="majorHAnsi" w:cs="Arial"/>
          <w:bCs/>
          <w:sz w:val="24"/>
          <w:szCs w:val="24"/>
        </w:rPr>
        <w:t xml:space="preserve">children </w:t>
      </w:r>
      <w:r w:rsidR="005F7646">
        <w:rPr>
          <w:rFonts w:asciiTheme="majorHAnsi" w:hAnsiTheme="majorHAnsi" w:cs="Arial"/>
          <w:bCs/>
          <w:sz w:val="24"/>
          <w:szCs w:val="24"/>
        </w:rPr>
        <w:t xml:space="preserve">visit with </w:t>
      </w:r>
      <w:r w:rsidR="00565F8D">
        <w:rPr>
          <w:rFonts w:asciiTheme="majorHAnsi" w:hAnsiTheme="majorHAnsi" w:cs="Arial"/>
          <w:bCs/>
          <w:sz w:val="24"/>
          <w:szCs w:val="24"/>
        </w:rPr>
        <w:t xml:space="preserve">their </w:t>
      </w:r>
      <w:r w:rsidR="005F7646">
        <w:rPr>
          <w:rFonts w:asciiTheme="majorHAnsi" w:hAnsiTheme="majorHAnsi" w:cs="Arial"/>
          <w:bCs/>
          <w:sz w:val="24"/>
          <w:szCs w:val="24"/>
        </w:rPr>
        <w:t>parents and siblings while in foster care</w:t>
      </w:r>
      <w:r w:rsidR="00B91448">
        <w:rPr>
          <w:rFonts w:asciiTheme="majorHAnsi" w:hAnsiTheme="majorHAnsi" w:cs="Arial"/>
          <w:bCs/>
          <w:sz w:val="24"/>
          <w:szCs w:val="24"/>
        </w:rPr>
        <w:t xml:space="preserve"> (Item </w:t>
      </w:r>
      <w:r w:rsidR="00C57B97">
        <w:rPr>
          <w:rFonts w:asciiTheme="majorHAnsi" w:hAnsiTheme="majorHAnsi" w:cs="Arial"/>
          <w:bCs/>
          <w:sz w:val="24"/>
          <w:szCs w:val="24"/>
        </w:rPr>
        <w:t>8)</w:t>
      </w:r>
      <w:r w:rsidR="00B91448">
        <w:rPr>
          <w:rFonts w:asciiTheme="majorHAnsi" w:hAnsiTheme="majorHAnsi" w:cs="Arial"/>
          <w:bCs/>
          <w:sz w:val="24"/>
          <w:szCs w:val="24"/>
        </w:rPr>
        <w:t xml:space="preserve">, effectively ensuring that children visited with parents and siblings </w:t>
      </w:r>
      <w:r w:rsidR="00C57B97">
        <w:rPr>
          <w:rFonts w:asciiTheme="majorHAnsi" w:hAnsiTheme="majorHAnsi" w:cs="Arial"/>
          <w:bCs/>
          <w:sz w:val="24"/>
          <w:szCs w:val="24"/>
        </w:rPr>
        <w:t>in 86 percent of cases</w:t>
      </w:r>
      <w:r w:rsidR="00565F8D">
        <w:rPr>
          <w:rFonts w:asciiTheme="majorHAnsi" w:hAnsiTheme="majorHAnsi" w:cs="Arial"/>
          <w:bCs/>
          <w:sz w:val="24"/>
          <w:szCs w:val="24"/>
        </w:rPr>
        <w:t xml:space="preserve"> reviewed</w:t>
      </w:r>
      <w:r w:rsidR="00C57B97">
        <w:rPr>
          <w:rFonts w:asciiTheme="majorHAnsi" w:hAnsiTheme="majorHAnsi" w:cs="Arial"/>
          <w:bCs/>
          <w:sz w:val="24"/>
          <w:szCs w:val="24"/>
        </w:rPr>
        <w:t xml:space="preserve">. </w:t>
      </w:r>
      <w:r w:rsidR="0048190C">
        <w:rPr>
          <w:rFonts w:asciiTheme="majorHAnsi" w:hAnsiTheme="majorHAnsi" w:cs="Arial"/>
          <w:bCs/>
          <w:sz w:val="24"/>
          <w:szCs w:val="24"/>
        </w:rPr>
        <w:t>This</w:t>
      </w:r>
      <w:r w:rsidR="00565F8D">
        <w:rPr>
          <w:rFonts w:asciiTheme="majorHAnsi" w:hAnsiTheme="majorHAnsi" w:cs="Arial"/>
          <w:bCs/>
          <w:sz w:val="24"/>
          <w:szCs w:val="24"/>
        </w:rPr>
        <w:t xml:space="preserve"> rate of success</w:t>
      </w:r>
      <w:r w:rsidR="0048190C">
        <w:rPr>
          <w:rFonts w:asciiTheme="majorHAnsi" w:hAnsiTheme="majorHAnsi" w:cs="Arial"/>
          <w:bCs/>
          <w:sz w:val="24"/>
          <w:szCs w:val="24"/>
        </w:rPr>
        <w:t xml:space="preserve"> </w:t>
      </w:r>
      <w:r w:rsidR="00565F8D">
        <w:rPr>
          <w:rFonts w:asciiTheme="majorHAnsi" w:hAnsiTheme="majorHAnsi" w:cs="Arial"/>
          <w:bCs/>
          <w:sz w:val="24"/>
          <w:szCs w:val="24"/>
        </w:rPr>
        <w:t xml:space="preserve">represents </w:t>
      </w:r>
      <w:r w:rsidR="0048190C">
        <w:rPr>
          <w:rFonts w:asciiTheme="majorHAnsi" w:hAnsiTheme="majorHAnsi" w:cs="Arial"/>
          <w:bCs/>
          <w:sz w:val="24"/>
          <w:szCs w:val="24"/>
        </w:rPr>
        <w:t xml:space="preserve">a substantial improvement of </w:t>
      </w:r>
      <w:r w:rsidR="00A64EA0">
        <w:rPr>
          <w:rFonts w:asciiTheme="majorHAnsi" w:hAnsiTheme="majorHAnsi" w:cs="Arial"/>
          <w:bCs/>
          <w:sz w:val="24"/>
          <w:szCs w:val="24"/>
        </w:rPr>
        <w:t xml:space="preserve">22 percentage points of the Round 3 CFSR and a 1 percentage point increase from the SFY 2018. </w:t>
      </w:r>
      <w:r w:rsidR="006433FF">
        <w:rPr>
          <w:rFonts w:asciiTheme="majorHAnsi" w:hAnsiTheme="majorHAnsi" w:cs="Arial"/>
          <w:bCs/>
          <w:sz w:val="24"/>
          <w:szCs w:val="24"/>
        </w:rPr>
        <w:t xml:space="preserve">Moreover, 3 Areas (2 through 4) were wholly successful in providing visitation </w:t>
      </w:r>
      <w:r w:rsidR="003B39E6">
        <w:rPr>
          <w:rFonts w:asciiTheme="majorHAnsi" w:hAnsiTheme="majorHAnsi" w:cs="Arial"/>
          <w:bCs/>
          <w:sz w:val="24"/>
          <w:szCs w:val="24"/>
        </w:rPr>
        <w:t>with parents and siblings to children in foster care</w:t>
      </w:r>
      <w:r w:rsidR="005F05FD">
        <w:rPr>
          <w:rFonts w:asciiTheme="majorHAnsi" w:hAnsiTheme="majorHAnsi" w:cs="Arial"/>
          <w:bCs/>
          <w:sz w:val="24"/>
          <w:szCs w:val="24"/>
        </w:rPr>
        <w:t xml:space="preserve">, with all </w:t>
      </w:r>
      <w:r w:rsidR="00565F8D">
        <w:rPr>
          <w:rFonts w:asciiTheme="majorHAnsi" w:hAnsiTheme="majorHAnsi" w:cs="Arial"/>
          <w:bCs/>
          <w:sz w:val="24"/>
          <w:szCs w:val="24"/>
        </w:rPr>
        <w:t>three</w:t>
      </w:r>
      <w:r w:rsidR="005F05FD">
        <w:rPr>
          <w:rFonts w:asciiTheme="majorHAnsi" w:hAnsiTheme="majorHAnsi" w:cs="Arial"/>
          <w:bCs/>
          <w:sz w:val="24"/>
          <w:szCs w:val="24"/>
        </w:rPr>
        <w:t xml:space="preserve"> </w:t>
      </w:r>
      <w:r w:rsidR="00565F8D">
        <w:rPr>
          <w:rFonts w:asciiTheme="majorHAnsi" w:hAnsiTheme="majorHAnsi" w:cs="Arial"/>
          <w:bCs/>
          <w:sz w:val="24"/>
          <w:szCs w:val="24"/>
        </w:rPr>
        <w:t xml:space="preserve">service areas </w:t>
      </w:r>
      <w:r w:rsidR="00EC347C">
        <w:rPr>
          <w:rFonts w:asciiTheme="majorHAnsi" w:hAnsiTheme="majorHAnsi" w:cs="Arial"/>
          <w:bCs/>
          <w:sz w:val="24"/>
          <w:szCs w:val="24"/>
        </w:rPr>
        <w:t>improving substantially from both the Round 3 CFSR and SFY 2018</w:t>
      </w:r>
      <w:r w:rsidR="00565F8D">
        <w:rPr>
          <w:rFonts w:asciiTheme="majorHAnsi" w:hAnsiTheme="majorHAnsi" w:cs="Arial"/>
          <w:bCs/>
          <w:sz w:val="24"/>
          <w:szCs w:val="24"/>
        </w:rPr>
        <w:t xml:space="preserve"> QSPR reviews</w:t>
      </w:r>
      <w:r w:rsidR="00EC347C">
        <w:rPr>
          <w:rFonts w:asciiTheme="majorHAnsi" w:hAnsiTheme="majorHAnsi" w:cs="Arial"/>
          <w:bCs/>
          <w:sz w:val="24"/>
          <w:szCs w:val="24"/>
        </w:rPr>
        <w:t xml:space="preserve">. </w:t>
      </w:r>
      <w:r w:rsidR="00A30552">
        <w:rPr>
          <w:rFonts w:asciiTheme="majorHAnsi" w:hAnsiTheme="majorHAnsi" w:cs="Arial"/>
          <w:bCs/>
          <w:sz w:val="24"/>
          <w:szCs w:val="24"/>
        </w:rPr>
        <w:t xml:space="preserve">However, Areas </w:t>
      </w:r>
      <w:r w:rsidR="00D10394">
        <w:rPr>
          <w:rFonts w:asciiTheme="majorHAnsi" w:hAnsiTheme="majorHAnsi" w:cs="Arial"/>
          <w:bCs/>
          <w:sz w:val="24"/>
          <w:szCs w:val="24"/>
        </w:rPr>
        <w:t>4</w:t>
      </w:r>
      <w:r w:rsidR="00565F8D">
        <w:rPr>
          <w:rFonts w:asciiTheme="majorHAnsi" w:hAnsiTheme="majorHAnsi" w:cs="Arial"/>
          <w:bCs/>
          <w:sz w:val="24"/>
          <w:szCs w:val="24"/>
        </w:rPr>
        <w:t>,</w:t>
      </w:r>
      <w:r w:rsidR="00D10394">
        <w:rPr>
          <w:rFonts w:asciiTheme="majorHAnsi" w:hAnsiTheme="majorHAnsi" w:cs="Arial"/>
          <w:bCs/>
          <w:sz w:val="24"/>
          <w:szCs w:val="24"/>
        </w:rPr>
        <w:t xml:space="preserve"> 8</w:t>
      </w:r>
      <w:r w:rsidR="00565F8D">
        <w:rPr>
          <w:rFonts w:asciiTheme="majorHAnsi" w:hAnsiTheme="majorHAnsi" w:cs="Arial"/>
          <w:bCs/>
          <w:sz w:val="24"/>
          <w:szCs w:val="24"/>
        </w:rPr>
        <w:t>, 9 and</w:t>
      </w:r>
      <w:r w:rsidR="00D10394">
        <w:rPr>
          <w:rFonts w:asciiTheme="majorHAnsi" w:hAnsiTheme="majorHAnsi" w:cs="Arial"/>
          <w:bCs/>
          <w:sz w:val="24"/>
          <w:szCs w:val="24"/>
        </w:rPr>
        <w:t xml:space="preserve"> 10 showed significant decreases in performance from </w:t>
      </w:r>
      <w:r w:rsidR="005140CF">
        <w:rPr>
          <w:rFonts w:asciiTheme="majorHAnsi" w:hAnsiTheme="majorHAnsi" w:cs="Arial"/>
          <w:bCs/>
          <w:sz w:val="24"/>
          <w:szCs w:val="24"/>
        </w:rPr>
        <w:t>both the Round 3 CFSR and SFY 2018</w:t>
      </w:r>
      <w:r w:rsidR="00EC1535">
        <w:rPr>
          <w:rFonts w:asciiTheme="majorHAnsi" w:hAnsiTheme="majorHAnsi" w:cs="Arial"/>
          <w:bCs/>
          <w:sz w:val="24"/>
          <w:szCs w:val="24"/>
        </w:rPr>
        <w:t xml:space="preserve"> </w:t>
      </w:r>
      <w:r w:rsidR="00565F8D">
        <w:rPr>
          <w:rFonts w:asciiTheme="majorHAnsi" w:hAnsiTheme="majorHAnsi" w:cs="Arial"/>
          <w:bCs/>
          <w:sz w:val="24"/>
          <w:szCs w:val="24"/>
        </w:rPr>
        <w:t xml:space="preserve">QSPR reviews; </w:t>
      </w:r>
      <w:r w:rsidR="00EC1535">
        <w:rPr>
          <w:rFonts w:asciiTheme="majorHAnsi" w:hAnsiTheme="majorHAnsi" w:cs="Arial"/>
          <w:bCs/>
          <w:sz w:val="24"/>
          <w:szCs w:val="24"/>
        </w:rPr>
        <w:t xml:space="preserve">none of these </w:t>
      </w:r>
      <w:r w:rsidR="00565F8D">
        <w:rPr>
          <w:rFonts w:asciiTheme="majorHAnsi" w:hAnsiTheme="majorHAnsi" w:cs="Arial"/>
          <w:bCs/>
          <w:sz w:val="24"/>
          <w:szCs w:val="24"/>
        </w:rPr>
        <w:t>four service</w:t>
      </w:r>
      <w:r w:rsidR="00EC1535">
        <w:rPr>
          <w:rFonts w:asciiTheme="majorHAnsi" w:hAnsiTheme="majorHAnsi" w:cs="Arial"/>
          <w:bCs/>
          <w:sz w:val="24"/>
          <w:szCs w:val="24"/>
        </w:rPr>
        <w:t xml:space="preserve"> </w:t>
      </w:r>
      <w:r w:rsidR="00565F8D">
        <w:rPr>
          <w:rFonts w:asciiTheme="majorHAnsi" w:hAnsiTheme="majorHAnsi" w:cs="Arial"/>
          <w:bCs/>
          <w:sz w:val="24"/>
          <w:szCs w:val="24"/>
        </w:rPr>
        <w:t>a</w:t>
      </w:r>
      <w:r w:rsidR="00EC1535">
        <w:rPr>
          <w:rFonts w:asciiTheme="majorHAnsi" w:hAnsiTheme="majorHAnsi" w:cs="Arial"/>
          <w:bCs/>
          <w:sz w:val="24"/>
          <w:szCs w:val="24"/>
        </w:rPr>
        <w:t xml:space="preserve">reas were rated as strength for this item. </w:t>
      </w:r>
    </w:p>
    <w:p w14:paraId="719D291B" w14:textId="7471378A" w:rsidR="00655CF2" w:rsidRDefault="00655CF2" w:rsidP="00655CF2">
      <w:pPr>
        <w:pStyle w:val="ListParagraph"/>
        <w:spacing w:after="0" w:line="240" w:lineRule="auto"/>
        <w:jc w:val="both"/>
        <w:rPr>
          <w:rFonts w:ascii="Cambria" w:hAnsi="Cambria"/>
          <w:iCs/>
          <w:smallCaps/>
          <w:sz w:val="24"/>
          <w:szCs w:val="24"/>
        </w:rPr>
      </w:pPr>
    </w:p>
    <w:p w14:paraId="366CA417" w14:textId="4A2665E6" w:rsidR="00895C8B" w:rsidRDefault="00895C8B" w:rsidP="00655CF2">
      <w:pPr>
        <w:pStyle w:val="ListParagraph"/>
        <w:spacing w:after="0" w:line="240" w:lineRule="auto"/>
        <w:jc w:val="both"/>
        <w:rPr>
          <w:rFonts w:ascii="Cambria" w:hAnsi="Cambria"/>
          <w:iCs/>
          <w:smallCaps/>
          <w:sz w:val="24"/>
          <w:szCs w:val="24"/>
        </w:rPr>
      </w:pPr>
    </w:p>
    <w:p w14:paraId="3E2015D7" w14:textId="77777777" w:rsidR="00895C8B" w:rsidRPr="00135045" w:rsidRDefault="00895C8B" w:rsidP="00655CF2">
      <w:pPr>
        <w:pStyle w:val="ListParagraph"/>
        <w:spacing w:after="0" w:line="240" w:lineRule="auto"/>
        <w:jc w:val="both"/>
        <w:rPr>
          <w:rFonts w:ascii="Cambria" w:hAnsi="Cambria"/>
          <w:iCs/>
          <w:smallCaps/>
          <w:sz w:val="24"/>
          <w:szCs w:val="24"/>
        </w:rPr>
      </w:pPr>
    </w:p>
    <w:p w14:paraId="784DD003" w14:textId="77777777" w:rsidR="00FB3EDB" w:rsidRDefault="00FB3EDB" w:rsidP="0031511E">
      <w:pPr>
        <w:spacing w:after="0" w:line="240" w:lineRule="auto"/>
        <w:jc w:val="both"/>
        <w:rPr>
          <w:rFonts w:ascii="Cambria" w:hAnsi="Cambria"/>
          <w:i/>
          <w:smallCaps/>
          <w:sz w:val="24"/>
          <w:szCs w:val="24"/>
        </w:rPr>
      </w:pPr>
    </w:p>
    <w:p w14:paraId="08510EA8" w14:textId="12FFBEF7" w:rsidR="0031511E" w:rsidRPr="00DB5DF5" w:rsidRDefault="0031511E" w:rsidP="003D18CF">
      <w:pPr>
        <w:keepNext/>
        <w:spacing w:after="0" w:line="240" w:lineRule="auto"/>
        <w:jc w:val="both"/>
        <w:rPr>
          <w:rFonts w:ascii="Cambria" w:hAnsi="Cambria"/>
          <w:i/>
          <w:smallCaps/>
          <w:sz w:val="24"/>
          <w:szCs w:val="24"/>
        </w:rPr>
      </w:pPr>
      <w:r w:rsidRPr="004E6789">
        <w:rPr>
          <w:rFonts w:ascii="Cambria" w:hAnsi="Cambria"/>
          <w:i/>
          <w:smallCaps/>
          <w:sz w:val="24"/>
          <w:szCs w:val="24"/>
        </w:rPr>
        <w:t>Areas Needing Improvement</w:t>
      </w:r>
    </w:p>
    <w:p w14:paraId="08E011ED" w14:textId="77777777" w:rsidR="0031511E" w:rsidRPr="00FE4ED7" w:rsidRDefault="0031511E" w:rsidP="00ED40B8">
      <w:pPr>
        <w:spacing w:after="0" w:line="240" w:lineRule="auto"/>
        <w:jc w:val="both"/>
        <w:rPr>
          <w:rFonts w:ascii="Cambria" w:hAnsi="Cambria" w:cs="Arial"/>
          <w:sz w:val="24"/>
          <w:szCs w:val="24"/>
        </w:rPr>
      </w:pPr>
    </w:p>
    <w:p w14:paraId="286116C8" w14:textId="77777777" w:rsidR="00762A16" w:rsidRPr="00762A16" w:rsidRDefault="00BB75D4" w:rsidP="00A90C4D">
      <w:pPr>
        <w:numPr>
          <w:ilvl w:val="0"/>
          <w:numId w:val="1"/>
        </w:numPr>
        <w:spacing w:after="0" w:line="240" w:lineRule="auto"/>
        <w:jc w:val="both"/>
        <w:rPr>
          <w:rFonts w:asciiTheme="majorHAnsi" w:hAnsiTheme="majorHAnsi" w:cs="Arial"/>
          <w:sz w:val="24"/>
          <w:szCs w:val="24"/>
        </w:rPr>
      </w:pPr>
      <w:r w:rsidRPr="00AA2D65">
        <w:rPr>
          <w:rFonts w:ascii="Cambria" w:hAnsi="Cambria"/>
          <w:b/>
          <w:sz w:val="24"/>
          <w:szCs w:val="24"/>
        </w:rPr>
        <w:t xml:space="preserve">Stability of </w:t>
      </w:r>
      <w:r w:rsidR="00AA2D65">
        <w:rPr>
          <w:rFonts w:ascii="Cambria" w:hAnsi="Cambria"/>
          <w:b/>
          <w:sz w:val="24"/>
          <w:szCs w:val="24"/>
        </w:rPr>
        <w:t>Foster Care Placement</w:t>
      </w:r>
      <w:r w:rsidR="0031511E" w:rsidRPr="00AA2D65">
        <w:rPr>
          <w:rFonts w:ascii="Cambria" w:hAnsi="Cambria"/>
          <w:b/>
          <w:sz w:val="24"/>
          <w:szCs w:val="24"/>
        </w:rPr>
        <w:t xml:space="preserve"> </w:t>
      </w:r>
      <w:r w:rsidR="0031511E" w:rsidRPr="00AA2D65">
        <w:rPr>
          <w:rFonts w:ascii="Cambria" w:hAnsi="Cambria"/>
          <w:sz w:val="24"/>
          <w:szCs w:val="24"/>
        </w:rPr>
        <w:t xml:space="preserve">– </w:t>
      </w:r>
      <w:r w:rsidR="000F3568">
        <w:rPr>
          <w:rFonts w:ascii="Cambria" w:hAnsi="Cambria"/>
          <w:sz w:val="24"/>
          <w:szCs w:val="24"/>
        </w:rPr>
        <w:t xml:space="preserve">Children in foster care should have </w:t>
      </w:r>
      <w:r w:rsidR="00BE114B">
        <w:rPr>
          <w:rFonts w:ascii="Cambria" w:hAnsi="Cambria"/>
          <w:sz w:val="24"/>
          <w:szCs w:val="24"/>
        </w:rPr>
        <w:t>stability in their placement</w:t>
      </w:r>
      <w:r w:rsidR="00A7470D">
        <w:rPr>
          <w:rFonts w:ascii="Cambria" w:hAnsi="Cambria"/>
          <w:sz w:val="24"/>
          <w:szCs w:val="24"/>
        </w:rPr>
        <w:t xml:space="preserve"> (Item 4)</w:t>
      </w:r>
      <w:r w:rsidR="00BE114B">
        <w:rPr>
          <w:rFonts w:ascii="Cambria" w:hAnsi="Cambria"/>
          <w:sz w:val="24"/>
          <w:szCs w:val="24"/>
        </w:rPr>
        <w:t xml:space="preserve"> that allows them to maintain strong relationships and bonds with their family and community</w:t>
      </w:r>
      <w:r w:rsidR="00D273DB" w:rsidRPr="00AA2D65">
        <w:rPr>
          <w:rFonts w:ascii="Cambria" w:hAnsi="Cambria"/>
          <w:sz w:val="24"/>
          <w:szCs w:val="24"/>
        </w:rPr>
        <w:t>.</w:t>
      </w:r>
      <w:r w:rsidR="00EA7EF4">
        <w:rPr>
          <w:rFonts w:ascii="Cambria" w:hAnsi="Cambria"/>
          <w:sz w:val="24"/>
          <w:szCs w:val="24"/>
        </w:rPr>
        <w:t xml:space="preserve"> </w:t>
      </w:r>
      <w:r w:rsidR="00EA7EF4" w:rsidRPr="00EA7EF4">
        <w:rPr>
          <w:rFonts w:ascii="Cambria" w:hAnsi="Cambria"/>
          <w:sz w:val="24"/>
          <w:szCs w:val="24"/>
        </w:rPr>
        <w:t xml:space="preserve">For purposes of the QSPR/CFSR, children are considered to experience stability if their current placement is stable and any moves during the review period were planned and designed either to achieve their case goals or to better meet the children’s needs. </w:t>
      </w:r>
      <w:r w:rsidR="00D273DB" w:rsidRPr="00AA2D65">
        <w:rPr>
          <w:rFonts w:ascii="Cambria" w:hAnsi="Cambria"/>
          <w:sz w:val="24"/>
          <w:szCs w:val="24"/>
        </w:rPr>
        <w:t>S</w:t>
      </w:r>
      <w:r w:rsidR="002376A7" w:rsidRPr="00AA2D65">
        <w:rPr>
          <w:rFonts w:ascii="Cambria" w:hAnsi="Cambria"/>
          <w:sz w:val="24"/>
          <w:szCs w:val="24"/>
        </w:rPr>
        <w:t xml:space="preserve">ufficient efforts </w:t>
      </w:r>
      <w:r w:rsidR="00BE114B">
        <w:rPr>
          <w:rFonts w:ascii="Cambria" w:hAnsi="Cambria"/>
          <w:sz w:val="24"/>
          <w:szCs w:val="24"/>
        </w:rPr>
        <w:t>to maintain stability in foster care placements</w:t>
      </w:r>
      <w:r w:rsidR="005B5712">
        <w:rPr>
          <w:rFonts w:ascii="Cambria" w:hAnsi="Cambria"/>
          <w:sz w:val="24"/>
          <w:szCs w:val="24"/>
        </w:rPr>
        <w:t xml:space="preserve"> were made</w:t>
      </w:r>
      <w:r w:rsidR="002376A7" w:rsidRPr="00AA2D65">
        <w:rPr>
          <w:rFonts w:ascii="Cambria" w:hAnsi="Cambria"/>
          <w:sz w:val="24"/>
          <w:szCs w:val="24"/>
        </w:rPr>
        <w:t xml:space="preserve"> in </w:t>
      </w:r>
      <w:r w:rsidR="005D26A7">
        <w:rPr>
          <w:rFonts w:ascii="Cambria" w:hAnsi="Cambria"/>
          <w:sz w:val="24"/>
          <w:szCs w:val="24"/>
        </w:rPr>
        <w:t>less than three quarters</w:t>
      </w:r>
      <w:r w:rsidR="00D273DB" w:rsidRPr="00AA2D65">
        <w:rPr>
          <w:rFonts w:ascii="Cambria" w:hAnsi="Cambria"/>
          <w:sz w:val="24"/>
          <w:szCs w:val="24"/>
        </w:rPr>
        <w:t xml:space="preserve"> of the reviewed cases (</w:t>
      </w:r>
      <w:r w:rsidR="005D26A7">
        <w:rPr>
          <w:rFonts w:ascii="Cambria" w:hAnsi="Cambria"/>
          <w:sz w:val="24"/>
          <w:szCs w:val="24"/>
        </w:rPr>
        <w:t>73</w:t>
      </w:r>
      <w:r w:rsidR="002376A7" w:rsidRPr="00AA2D65">
        <w:rPr>
          <w:rFonts w:ascii="Cambria" w:hAnsi="Cambria"/>
          <w:sz w:val="24"/>
          <w:szCs w:val="24"/>
        </w:rPr>
        <w:t xml:space="preserve"> percent) during SFY 201</w:t>
      </w:r>
      <w:r w:rsidR="005D26A7">
        <w:rPr>
          <w:rFonts w:ascii="Cambria" w:hAnsi="Cambria"/>
          <w:sz w:val="24"/>
          <w:szCs w:val="24"/>
        </w:rPr>
        <w:t>9</w:t>
      </w:r>
      <w:r w:rsidR="002376A7" w:rsidRPr="00AA2D65">
        <w:rPr>
          <w:rFonts w:ascii="Cambria" w:hAnsi="Cambria"/>
          <w:sz w:val="24"/>
          <w:szCs w:val="24"/>
        </w:rPr>
        <w:t xml:space="preserve">.  </w:t>
      </w:r>
      <w:r w:rsidR="00A7470D">
        <w:rPr>
          <w:rFonts w:ascii="Cambria" w:hAnsi="Cambria"/>
          <w:sz w:val="24"/>
          <w:szCs w:val="24"/>
        </w:rPr>
        <w:t>Only Area 4 was rated as a strength on this item</w:t>
      </w:r>
      <w:r w:rsidR="00A34EC9">
        <w:rPr>
          <w:rFonts w:ascii="Cambria" w:hAnsi="Cambria"/>
          <w:sz w:val="24"/>
          <w:szCs w:val="24"/>
        </w:rPr>
        <w:t xml:space="preserve"> (92 percent)</w:t>
      </w:r>
      <w:r w:rsidR="00A7470D">
        <w:rPr>
          <w:rFonts w:ascii="Cambria" w:hAnsi="Cambria"/>
          <w:sz w:val="24"/>
          <w:szCs w:val="24"/>
        </w:rPr>
        <w:t xml:space="preserve">. </w:t>
      </w:r>
    </w:p>
    <w:p w14:paraId="1EF3B997" w14:textId="77777777" w:rsidR="00762A16" w:rsidRPr="00762A16" w:rsidRDefault="00762A16" w:rsidP="00762A16">
      <w:pPr>
        <w:spacing w:after="0" w:line="240" w:lineRule="auto"/>
        <w:ind w:left="360"/>
        <w:jc w:val="both"/>
        <w:rPr>
          <w:rFonts w:asciiTheme="majorHAnsi" w:hAnsiTheme="majorHAnsi" w:cs="Arial"/>
          <w:sz w:val="24"/>
          <w:szCs w:val="24"/>
        </w:rPr>
      </w:pPr>
    </w:p>
    <w:p w14:paraId="040D8670" w14:textId="05E928C6" w:rsidR="0031511E" w:rsidRPr="00A90C4D" w:rsidRDefault="00E365B4" w:rsidP="00762A16">
      <w:pPr>
        <w:spacing w:after="0" w:line="240" w:lineRule="auto"/>
        <w:ind w:left="360"/>
        <w:jc w:val="both"/>
        <w:rPr>
          <w:rFonts w:asciiTheme="majorHAnsi" w:hAnsiTheme="majorHAnsi" w:cs="Arial"/>
          <w:sz w:val="24"/>
          <w:szCs w:val="24"/>
        </w:rPr>
      </w:pPr>
      <w:r>
        <w:rPr>
          <w:rFonts w:ascii="Cambria" w:hAnsi="Cambria"/>
          <w:sz w:val="24"/>
          <w:szCs w:val="24"/>
        </w:rPr>
        <w:t xml:space="preserve">Areas 2, </w:t>
      </w:r>
      <w:r w:rsidR="00A34EC9">
        <w:rPr>
          <w:rFonts w:ascii="Cambria" w:hAnsi="Cambria"/>
          <w:sz w:val="24"/>
          <w:szCs w:val="24"/>
        </w:rPr>
        <w:t xml:space="preserve">7 and 10 </w:t>
      </w:r>
      <w:r w:rsidR="000E7070">
        <w:rPr>
          <w:rFonts w:ascii="Cambria" w:hAnsi="Cambria"/>
          <w:sz w:val="24"/>
          <w:szCs w:val="24"/>
        </w:rPr>
        <w:t xml:space="preserve">all substantially decreased their performance on this item in comparison </w:t>
      </w:r>
      <w:r w:rsidR="00471CB1">
        <w:rPr>
          <w:rFonts w:ascii="Cambria" w:hAnsi="Cambria"/>
          <w:sz w:val="24"/>
          <w:szCs w:val="24"/>
        </w:rPr>
        <w:t xml:space="preserve">to </w:t>
      </w:r>
      <w:r w:rsidR="00456E64">
        <w:rPr>
          <w:rFonts w:ascii="Cambria" w:hAnsi="Cambria"/>
          <w:sz w:val="24"/>
          <w:szCs w:val="24"/>
        </w:rPr>
        <w:t xml:space="preserve">the </w:t>
      </w:r>
      <w:r w:rsidR="00471CB1">
        <w:rPr>
          <w:rFonts w:ascii="Cambria" w:hAnsi="Cambria"/>
          <w:sz w:val="24"/>
          <w:szCs w:val="24"/>
        </w:rPr>
        <w:t xml:space="preserve">SFY 2018 </w:t>
      </w:r>
      <w:r w:rsidR="00456E64">
        <w:rPr>
          <w:rFonts w:ascii="Cambria" w:hAnsi="Cambria"/>
          <w:sz w:val="24"/>
          <w:szCs w:val="24"/>
        </w:rPr>
        <w:t xml:space="preserve">QSPR </w:t>
      </w:r>
      <w:r w:rsidR="00471CB1">
        <w:rPr>
          <w:rFonts w:ascii="Cambria" w:hAnsi="Cambria"/>
          <w:sz w:val="24"/>
          <w:szCs w:val="24"/>
        </w:rPr>
        <w:t>and Area 2 and 7 also decreased in performance compared to the Round 3 CFSR.</w:t>
      </w:r>
      <w:r w:rsidR="00267426">
        <w:rPr>
          <w:rFonts w:ascii="Cambria" w:hAnsi="Cambria"/>
          <w:sz w:val="24"/>
          <w:szCs w:val="24"/>
        </w:rPr>
        <w:t xml:space="preserve"> </w:t>
      </w:r>
      <w:r w:rsidR="00267426" w:rsidRPr="00267426">
        <w:rPr>
          <w:rFonts w:ascii="Cambria" w:hAnsi="Cambria"/>
          <w:sz w:val="24"/>
          <w:szCs w:val="24"/>
        </w:rPr>
        <w:t xml:space="preserve">All deficient ratings </w:t>
      </w:r>
      <w:r w:rsidR="00267426">
        <w:rPr>
          <w:rFonts w:ascii="Cambria" w:hAnsi="Cambria"/>
          <w:sz w:val="24"/>
          <w:szCs w:val="24"/>
        </w:rPr>
        <w:t xml:space="preserve">in Area 2 </w:t>
      </w:r>
      <w:r w:rsidR="00267426" w:rsidRPr="00267426">
        <w:rPr>
          <w:rFonts w:ascii="Cambria" w:hAnsi="Cambria"/>
          <w:sz w:val="24"/>
          <w:szCs w:val="24"/>
        </w:rPr>
        <w:t xml:space="preserve">were the result of unplanned placement changes (e.g., foster families requesting children be moved because they were not equipped to deal with the children’s difficult behaviors).  Additionally, the target child in each of the five deficient cases had four or more placement changes during the review period. </w:t>
      </w:r>
      <w:r w:rsidR="00471CB1">
        <w:rPr>
          <w:rFonts w:ascii="Cambria" w:hAnsi="Cambria"/>
          <w:sz w:val="24"/>
          <w:szCs w:val="24"/>
        </w:rPr>
        <w:t xml:space="preserve"> </w:t>
      </w:r>
      <w:r w:rsidR="006578F2" w:rsidRPr="006578F2">
        <w:rPr>
          <w:rFonts w:ascii="Cambria" w:hAnsi="Cambria"/>
          <w:sz w:val="24"/>
          <w:szCs w:val="24"/>
        </w:rPr>
        <w:t xml:space="preserve">The majority of the deficient ratings </w:t>
      </w:r>
      <w:r w:rsidR="00F87959">
        <w:rPr>
          <w:rFonts w:ascii="Cambria" w:hAnsi="Cambria"/>
          <w:sz w:val="24"/>
          <w:szCs w:val="24"/>
        </w:rPr>
        <w:t>in Area</w:t>
      </w:r>
      <w:r w:rsidR="00762A16">
        <w:rPr>
          <w:rFonts w:ascii="Cambria" w:hAnsi="Cambria"/>
          <w:sz w:val="24"/>
          <w:szCs w:val="24"/>
        </w:rPr>
        <w:t xml:space="preserve"> 7</w:t>
      </w:r>
      <w:r w:rsidR="00F87959">
        <w:rPr>
          <w:rFonts w:ascii="Cambria" w:hAnsi="Cambria"/>
          <w:sz w:val="24"/>
          <w:szCs w:val="24"/>
        </w:rPr>
        <w:t xml:space="preserve"> </w:t>
      </w:r>
      <w:r w:rsidR="006578F2" w:rsidRPr="006578F2">
        <w:rPr>
          <w:rFonts w:ascii="Cambria" w:hAnsi="Cambria"/>
          <w:sz w:val="24"/>
          <w:szCs w:val="24"/>
        </w:rPr>
        <w:t>stemmed from placement in a temporary setting while awaiting a more appropriate setting</w:t>
      </w:r>
      <w:r w:rsidR="006578F2">
        <w:rPr>
          <w:rFonts w:ascii="Cambria" w:hAnsi="Cambria"/>
          <w:sz w:val="24"/>
          <w:szCs w:val="24"/>
        </w:rPr>
        <w:t xml:space="preserve">. </w:t>
      </w:r>
    </w:p>
    <w:p w14:paraId="49B468FD" w14:textId="77777777" w:rsidR="00A90C4D" w:rsidRPr="00B52902" w:rsidRDefault="00A90C4D" w:rsidP="00A90C4D">
      <w:pPr>
        <w:spacing w:after="0" w:line="240" w:lineRule="auto"/>
        <w:ind w:left="360"/>
        <w:jc w:val="both"/>
        <w:rPr>
          <w:rFonts w:asciiTheme="majorHAnsi" w:hAnsiTheme="majorHAnsi" w:cs="Arial"/>
          <w:sz w:val="24"/>
          <w:szCs w:val="24"/>
        </w:rPr>
      </w:pPr>
    </w:p>
    <w:p w14:paraId="2FD96A39" w14:textId="648657AE" w:rsidR="00FB74BC" w:rsidRDefault="0031511E" w:rsidP="00FB74BC">
      <w:pPr>
        <w:numPr>
          <w:ilvl w:val="0"/>
          <w:numId w:val="1"/>
        </w:numPr>
        <w:spacing w:after="0" w:line="240" w:lineRule="auto"/>
        <w:jc w:val="both"/>
        <w:rPr>
          <w:rFonts w:asciiTheme="majorHAnsi" w:hAnsiTheme="majorHAnsi" w:cs="Arial"/>
          <w:sz w:val="24"/>
          <w:szCs w:val="24"/>
        </w:rPr>
      </w:pPr>
      <w:r w:rsidRPr="00B52902">
        <w:rPr>
          <w:rFonts w:asciiTheme="majorHAnsi" w:hAnsiTheme="majorHAnsi" w:cs="Arial"/>
          <w:b/>
          <w:sz w:val="24"/>
          <w:szCs w:val="24"/>
        </w:rPr>
        <w:t>Preserving Important Connections</w:t>
      </w:r>
      <w:r w:rsidRPr="00B52902">
        <w:rPr>
          <w:rFonts w:asciiTheme="majorHAnsi" w:hAnsiTheme="majorHAnsi" w:cs="Arial"/>
          <w:sz w:val="24"/>
          <w:szCs w:val="24"/>
        </w:rPr>
        <w:t xml:space="preserve"> – </w:t>
      </w:r>
      <w:r w:rsidR="00B52902" w:rsidRPr="00B52902">
        <w:rPr>
          <w:rFonts w:asciiTheme="majorHAnsi" w:hAnsiTheme="majorHAnsi" w:cs="Arial"/>
          <w:sz w:val="24"/>
          <w:szCs w:val="24"/>
        </w:rPr>
        <w:t xml:space="preserve">Children form important bonds outside of their immediate families.  They may have significant connections to their extended family, community, neighborhood, faith, school and/or friends.  Sufficient efforts were not made to maintain these important connections in </w:t>
      </w:r>
      <w:r w:rsidR="00557202">
        <w:rPr>
          <w:rFonts w:asciiTheme="majorHAnsi" w:hAnsiTheme="majorHAnsi" w:cs="Arial"/>
          <w:sz w:val="24"/>
          <w:szCs w:val="24"/>
        </w:rPr>
        <w:t xml:space="preserve">over </w:t>
      </w:r>
      <w:r w:rsidR="00B52902" w:rsidRPr="00B52902">
        <w:rPr>
          <w:rFonts w:asciiTheme="majorHAnsi" w:hAnsiTheme="majorHAnsi" w:cs="Arial"/>
          <w:sz w:val="24"/>
          <w:szCs w:val="24"/>
        </w:rPr>
        <w:t>one-</w:t>
      </w:r>
      <w:r w:rsidR="00750034">
        <w:rPr>
          <w:rFonts w:asciiTheme="majorHAnsi" w:hAnsiTheme="majorHAnsi" w:cs="Arial"/>
          <w:sz w:val="24"/>
          <w:szCs w:val="24"/>
        </w:rPr>
        <w:t>quarter</w:t>
      </w:r>
      <w:r w:rsidR="00B52902" w:rsidRPr="00B52902">
        <w:rPr>
          <w:rFonts w:asciiTheme="majorHAnsi" w:hAnsiTheme="majorHAnsi" w:cs="Arial"/>
          <w:sz w:val="24"/>
          <w:szCs w:val="24"/>
        </w:rPr>
        <w:t xml:space="preserve"> of the reviewed cases (</w:t>
      </w:r>
      <w:r w:rsidR="00557202">
        <w:rPr>
          <w:rFonts w:asciiTheme="majorHAnsi" w:hAnsiTheme="majorHAnsi" w:cs="Arial"/>
          <w:sz w:val="24"/>
          <w:szCs w:val="24"/>
        </w:rPr>
        <w:t>27</w:t>
      </w:r>
      <w:r w:rsidR="00B52902" w:rsidRPr="00B52902">
        <w:rPr>
          <w:rFonts w:asciiTheme="majorHAnsi" w:hAnsiTheme="majorHAnsi" w:cs="Arial"/>
          <w:sz w:val="24"/>
          <w:szCs w:val="24"/>
        </w:rPr>
        <w:t xml:space="preserve"> percent)</w:t>
      </w:r>
      <w:r w:rsidR="003E66CD">
        <w:rPr>
          <w:rFonts w:asciiTheme="majorHAnsi" w:hAnsiTheme="majorHAnsi" w:cs="Arial"/>
          <w:sz w:val="24"/>
          <w:szCs w:val="24"/>
        </w:rPr>
        <w:t>.</w:t>
      </w:r>
      <w:r w:rsidR="004605DB">
        <w:rPr>
          <w:rFonts w:asciiTheme="majorHAnsi" w:hAnsiTheme="majorHAnsi" w:cs="Arial"/>
          <w:sz w:val="24"/>
          <w:szCs w:val="24"/>
        </w:rPr>
        <w:t xml:space="preserve"> Despite the need for continuous improvement in preserving important connections (Item 9)</w:t>
      </w:r>
      <w:r w:rsidR="00495C41">
        <w:rPr>
          <w:rFonts w:asciiTheme="majorHAnsi" w:hAnsiTheme="majorHAnsi" w:cs="Arial"/>
          <w:sz w:val="24"/>
          <w:szCs w:val="24"/>
        </w:rPr>
        <w:t>,</w:t>
      </w:r>
      <w:r w:rsidR="004605DB">
        <w:rPr>
          <w:rFonts w:asciiTheme="majorHAnsi" w:hAnsiTheme="majorHAnsi" w:cs="Arial"/>
          <w:sz w:val="24"/>
          <w:szCs w:val="24"/>
        </w:rPr>
        <w:t xml:space="preserve"> state</w:t>
      </w:r>
      <w:r w:rsidR="00495C41">
        <w:rPr>
          <w:rFonts w:asciiTheme="majorHAnsi" w:hAnsiTheme="majorHAnsi" w:cs="Arial"/>
          <w:sz w:val="24"/>
          <w:szCs w:val="24"/>
        </w:rPr>
        <w:t xml:space="preserve">wide </w:t>
      </w:r>
      <w:r w:rsidR="0017457B">
        <w:rPr>
          <w:rFonts w:asciiTheme="majorHAnsi" w:hAnsiTheme="majorHAnsi" w:cs="Arial"/>
          <w:sz w:val="24"/>
          <w:szCs w:val="24"/>
        </w:rPr>
        <w:t xml:space="preserve">substantial improvement </w:t>
      </w:r>
      <w:r w:rsidR="00495C41">
        <w:rPr>
          <w:rFonts w:asciiTheme="majorHAnsi" w:hAnsiTheme="majorHAnsi" w:cs="Arial"/>
          <w:sz w:val="24"/>
          <w:szCs w:val="24"/>
        </w:rPr>
        <w:t xml:space="preserve">has been evidenced </w:t>
      </w:r>
      <w:r w:rsidR="0017457B">
        <w:rPr>
          <w:rFonts w:asciiTheme="majorHAnsi" w:hAnsiTheme="majorHAnsi" w:cs="Arial"/>
          <w:sz w:val="24"/>
          <w:szCs w:val="24"/>
        </w:rPr>
        <w:t xml:space="preserve">with a </w:t>
      </w:r>
      <w:r w:rsidR="00FB74BC">
        <w:rPr>
          <w:rFonts w:asciiTheme="majorHAnsi" w:hAnsiTheme="majorHAnsi" w:cs="Arial"/>
          <w:sz w:val="24"/>
          <w:szCs w:val="24"/>
        </w:rPr>
        <w:t>24-percentage</w:t>
      </w:r>
      <w:r w:rsidR="002314AD">
        <w:rPr>
          <w:rFonts w:asciiTheme="majorHAnsi" w:hAnsiTheme="majorHAnsi" w:cs="Arial"/>
          <w:sz w:val="24"/>
          <w:szCs w:val="24"/>
        </w:rPr>
        <w:t xml:space="preserve"> point increase from </w:t>
      </w:r>
      <w:r w:rsidR="00495C41">
        <w:rPr>
          <w:rFonts w:asciiTheme="majorHAnsi" w:hAnsiTheme="majorHAnsi" w:cs="Arial"/>
          <w:sz w:val="24"/>
          <w:szCs w:val="24"/>
        </w:rPr>
        <w:t xml:space="preserve">the </w:t>
      </w:r>
      <w:r w:rsidR="002314AD">
        <w:rPr>
          <w:rFonts w:asciiTheme="majorHAnsi" w:hAnsiTheme="majorHAnsi" w:cs="Arial"/>
          <w:sz w:val="24"/>
          <w:szCs w:val="24"/>
        </w:rPr>
        <w:t xml:space="preserve">Round 3 CFSR and a </w:t>
      </w:r>
      <w:r w:rsidR="00FB74BC">
        <w:rPr>
          <w:rFonts w:asciiTheme="majorHAnsi" w:hAnsiTheme="majorHAnsi" w:cs="Arial"/>
          <w:sz w:val="24"/>
          <w:szCs w:val="24"/>
        </w:rPr>
        <w:t xml:space="preserve">6-percentage point increase from </w:t>
      </w:r>
      <w:r w:rsidR="00495C41">
        <w:rPr>
          <w:rFonts w:asciiTheme="majorHAnsi" w:hAnsiTheme="majorHAnsi" w:cs="Arial"/>
          <w:sz w:val="24"/>
          <w:szCs w:val="24"/>
        </w:rPr>
        <w:t xml:space="preserve">the </w:t>
      </w:r>
      <w:r w:rsidR="00FB74BC">
        <w:rPr>
          <w:rFonts w:asciiTheme="majorHAnsi" w:hAnsiTheme="majorHAnsi" w:cs="Arial"/>
          <w:sz w:val="24"/>
          <w:szCs w:val="24"/>
        </w:rPr>
        <w:t>SFY 2018</w:t>
      </w:r>
      <w:r w:rsidR="00495C41">
        <w:rPr>
          <w:rFonts w:asciiTheme="majorHAnsi" w:hAnsiTheme="majorHAnsi" w:cs="Arial"/>
          <w:sz w:val="24"/>
          <w:szCs w:val="24"/>
        </w:rPr>
        <w:t xml:space="preserve"> QSPR</w:t>
      </w:r>
      <w:r w:rsidR="008B2E8B" w:rsidRPr="008B2E8B">
        <w:rPr>
          <w:rFonts w:asciiTheme="majorHAnsi" w:hAnsiTheme="majorHAnsi" w:cs="Arial"/>
          <w:sz w:val="24"/>
          <w:szCs w:val="24"/>
        </w:rPr>
        <w:t xml:space="preserve">. </w:t>
      </w:r>
      <w:r w:rsidR="00B52902" w:rsidRPr="00B52902">
        <w:rPr>
          <w:rFonts w:asciiTheme="majorHAnsi" w:hAnsiTheme="majorHAnsi" w:cs="Arial"/>
          <w:sz w:val="24"/>
          <w:szCs w:val="24"/>
        </w:rPr>
        <w:t xml:space="preserve">Some of the deficiencies resulted from children not being allowed to visit and/or maintain contact with extended family members with whom they had a connection prior to entering foster care.  However, most of the </w:t>
      </w:r>
      <w:r w:rsidR="00293C1B">
        <w:rPr>
          <w:rFonts w:asciiTheme="majorHAnsi" w:hAnsiTheme="majorHAnsi" w:cs="Arial"/>
          <w:sz w:val="24"/>
          <w:szCs w:val="24"/>
        </w:rPr>
        <w:t>d</w:t>
      </w:r>
      <w:r w:rsidR="00293C1B" w:rsidRPr="00293C1B">
        <w:rPr>
          <w:rFonts w:asciiTheme="majorHAnsi" w:hAnsiTheme="majorHAnsi" w:cs="Arial"/>
          <w:sz w:val="24"/>
          <w:szCs w:val="24"/>
        </w:rPr>
        <w:t>eficient cases resulted from children being placed outside of their hometown/county, which is indicative of a lack of available foster homes</w:t>
      </w:r>
      <w:r w:rsidR="00293C1B">
        <w:rPr>
          <w:rFonts w:asciiTheme="majorHAnsi" w:hAnsiTheme="majorHAnsi" w:cs="Arial"/>
          <w:sz w:val="24"/>
          <w:szCs w:val="24"/>
        </w:rPr>
        <w:t xml:space="preserve">; this </w:t>
      </w:r>
      <w:r w:rsidR="00B52902" w:rsidRPr="00B52902">
        <w:rPr>
          <w:rFonts w:asciiTheme="majorHAnsi" w:hAnsiTheme="majorHAnsi" w:cs="Arial"/>
          <w:sz w:val="24"/>
          <w:szCs w:val="24"/>
        </w:rPr>
        <w:t xml:space="preserve">was also </w:t>
      </w:r>
      <w:r w:rsidR="007D7CC8">
        <w:rPr>
          <w:rFonts w:asciiTheme="majorHAnsi" w:hAnsiTheme="majorHAnsi" w:cs="Arial"/>
          <w:sz w:val="24"/>
          <w:szCs w:val="24"/>
        </w:rPr>
        <w:t xml:space="preserve">a practice issue identified </w:t>
      </w:r>
      <w:r w:rsidR="00B52902" w:rsidRPr="00B52902">
        <w:rPr>
          <w:rFonts w:asciiTheme="majorHAnsi" w:hAnsiTheme="majorHAnsi" w:cs="Arial"/>
          <w:sz w:val="24"/>
          <w:szCs w:val="24"/>
        </w:rPr>
        <w:t>in the SFY 201</w:t>
      </w:r>
      <w:r w:rsidR="00F654B1">
        <w:rPr>
          <w:rFonts w:asciiTheme="majorHAnsi" w:hAnsiTheme="majorHAnsi" w:cs="Arial"/>
          <w:sz w:val="24"/>
          <w:szCs w:val="24"/>
        </w:rPr>
        <w:t>8</w:t>
      </w:r>
      <w:r w:rsidR="00B52902" w:rsidRPr="00B52902">
        <w:rPr>
          <w:rFonts w:asciiTheme="majorHAnsi" w:hAnsiTheme="majorHAnsi" w:cs="Arial"/>
          <w:sz w:val="24"/>
          <w:szCs w:val="24"/>
        </w:rPr>
        <w:t xml:space="preserve"> QSPR.  </w:t>
      </w:r>
    </w:p>
    <w:p w14:paraId="47BB714B" w14:textId="77777777" w:rsidR="00FB74BC" w:rsidRDefault="00FB74BC" w:rsidP="00FB74BC">
      <w:pPr>
        <w:spacing w:after="0" w:line="240" w:lineRule="auto"/>
        <w:ind w:left="360"/>
        <w:jc w:val="both"/>
        <w:rPr>
          <w:rFonts w:asciiTheme="majorHAnsi" w:hAnsiTheme="majorHAnsi" w:cs="Arial"/>
          <w:sz w:val="24"/>
          <w:szCs w:val="24"/>
        </w:rPr>
      </w:pPr>
    </w:p>
    <w:p w14:paraId="0179C0E0" w14:textId="26C28174" w:rsidR="00B52902" w:rsidRPr="00FB74BC" w:rsidRDefault="00B52902" w:rsidP="00FB74BC">
      <w:pPr>
        <w:spacing w:after="0" w:line="240" w:lineRule="auto"/>
        <w:ind w:left="360"/>
        <w:jc w:val="both"/>
        <w:rPr>
          <w:rFonts w:asciiTheme="majorHAnsi" w:hAnsiTheme="majorHAnsi" w:cs="Arial"/>
          <w:sz w:val="24"/>
          <w:szCs w:val="24"/>
        </w:rPr>
      </w:pPr>
      <w:r w:rsidRPr="00FB74BC">
        <w:rPr>
          <w:rFonts w:asciiTheme="majorHAnsi" w:hAnsiTheme="majorHAnsi" w:cs="Arial"/>
          <w:sz w:val="24"/>
          <w:szCs w:val="24"/>
        </w:rPr>
        <w:t xml:space="preserve">Most </w:t>
      </w:r>
      <w:r w:rsidR="00495C41">
        <w:rPr>
          <w:rFonts w:asciiTheme="majorHAnsi" w:hAnsiTheme="majorHAnsi" w:cs="Arial"/>
          <w:sz w:val="24"/>
          <w:szCs w:val="24"/>
        </w:rPr>
        <w:t>service a</w:t>
      </w:r>
      <w:r w:rsidRPr="00FB74BC">
        <w:rPr>
          <w:rFonts w:asciiTheme="majorHAnsi" w:hAnsiTheme="majorHAnsi" w:cs="Arial"/>
          <w:sz w:val="24"/>
          <w:szCs w:val="24"/>
        </w:rPr>
        <w:t xml:space="preserve">reas </w:t>
      </w:r>
      <w:r w:rsidR="00495C41">
        <w:rPr>
          <w:rFonts w:asciiTheme="majorHAnsi" w:hAnsiTheme="majorHAnsi" w:cs="Arial"/>
          <w:sz w:val="24"/>
          <w:szCs w:val="24"/>
        </w:rPr>
        <w:t>continue to</w:t>
      </w:r>
      <w:r w:rsidR="00495C41" w:rsidRPr="00FB74BC">
        <w:rPr>
          <w:rFonts w:asciiTheme="majorHAnsi" w:hAnsiTheme="majorHAnsi" w:cs="Arial"/>
          <w:sz w:val="24"/>
          <w:szCs w:val="24"/>
        </w:rPr>
        <w:t xml:space="preserve"> </w:t>
      </w:r>
      <w:r w:rsidRPr="00FB74BC">
        <w:rPr>
          <w:rFonts w:asciiTheme="majorHAnsi" w:hAnsiTheme="majorHAnsi" w:cs="Arial"/>
          <w:sz w:val="24"/>
          <w:szCs w:val="24"/>
        </w:rPr>
        <w:t>struggle with this measure, with none achieving substantial conformity</w:t>
      </w:r>
      <w:r w:rsidR="00495C41">
        <w:rPr>
          <w:rFonts w:asciiTheme="majorHAnsi" w:hAnsiTheme="majorHAnsi" w:cs="Arial"/>
          <w:sz w:val="24"/>
          <w:szCs w:val="24"/>
        </w:rPr>
        <w:t xml:space="preserve"> during the SFY 2019 round of QSPRs</w:t>
      </w:r>
      <w:r w:rsidRPr="00FB74BC">
        <w:rPr>
          <w:rFonts w:asciiTheme="majorHAnsi" w:hAnsiTheme="majorHAnsi" w:cs="Arial"/>
          <w:sz w:val="24"/>
          <w:szCs w:val="24"/>
        </w:rPr>
        <w:t xml:space="preserve">. </w:t>
      </w:r>
      <w:r w:rsidR="006F4F45" w:rsidRPr="006F4F45">
        <w:rPr>
          <w:rFonts w:asciiTheme="majorHAnsi" w:hAnsiTheme="majorHAnsi" w:cs="Arial"/>
          <w:sz w:val="24"/>
          <w:szCs w:val="24"/>
        </w:rPr>
        <w:t>Areas 1 and 2 both declined slightly in performance from SFY 2</w:t>
      </w:r>
      <w:r w:rsidR="00495C41">
        <w:rPr>
          <w:rFonts w:asciiTheme="majorHAnsi" w:hAnsiTheme="majorHAnsi" w:cs="Arial"/>
          <w:sz w:val="24"/>
          <w:szCs w:val="24"/>
        </w:rPr>
        <w:t>0</w:t>
      </w:r>
      <w:r w:rsidR="006F4F45" w:rsidRPr="006F4F45">
        <w:rPr>
          <w:rFonts w:asciiTheme="majorHAnsi" w:hAnsiTheme="majorHAnsi" w:cs="Arial"/>
          <w:sz w:val="24"/>
          <w:szCs w:val="24"/>
        </w:rPr>
        <w:t>18 but improved substantially from Round 3 CFSR</w:t>
      </w:r>
      <w:r w:rsidR="00650AF3">
        <w:rPr>
          <w:rFonts w:asciiTheme="majorHAnsi" w:hAnsiTheme="majorHAnsi" w:cs="Arial"/>
          <w:sz w:val="24"/>
          <w:szCs w:val="24"/>
        </w:rPr>
        <w:t>.</w:t>
      </w:r>
      <w:r w:rsidRPr="00FB74BC">
        <w:rPr>
          <w:rFonts w:asciiTheme="majorHAnsi" w:hAnsiTheme="majorHAnsi" w:cs="Arial"/>
          <w:sz w:val="24"/>
          <w:szCs w:val="24"/>
        </w:rPr>
        <w:t xml:space="preserve"> Area 9 had the most difficulty, making concerted efforts in only</w:t>
      </w:r>
      <w:r w:rsidR="00650AF3">
        <w:rPr>
          <w:rFonts w:asciiTheme="majorHAnsi" w:hAnsiTheme="majorHAnsi" w:cs="Arial"/>
          <w:sz w:val="24"/>
          <w:szCs w:val="24"/>
        </w:rPr>
        <w:t xml:space="preserve"> about</w:t>
      </w:r>
      <w:r w:rsidRPr="00FB74BC">
        <w:rPr>
          <w:rFonts w:asciiTheme="majorHAnsi" w:hAnsiTheme="majorHAnsi" w:cs="Arial"/>
          <w:sz w:val="24"/>
          <w:szCs w:val="24"/>
        </w:rPr>
        <w:t xml:space="preserve"> half of the reviewed cases (5</w:t>
      </w:r>
      <w:r w:rsidR="00650AF3">
        <w:rPr>
          <w:rFonts w:asciiTheme="majorHAnsi" w:hAnsiTheme="majorHAnsi" w:cs="Arial"/>
          <w:sz w:val="24"/>
          <w:szCs w:val="24"/>
        </w:rPr>
        <w:t>4</w:t>
      </w:r>
      <w:r w:rsidRPr="00FB74BC">
        <w:rPr>
          <w:rFonts w:asciiTheme="majorHAnsi" w:hAnsiTheme="majorHAnsi" w:cs="Arial"/>
          <w:sz w:val="24"/>
          <w:szCs w:val="24"/>
        </w:rPr>
        <w:t xml:space="preserve"> percent).</w:t>
      </w:r>
    </w:p>
    <w:p w14:paraId="236AA4EE" w14:textId="0E12C770" w:rsidR="0031511E" w:rsidRDefault="0031511E" w:rsidP="00B52902">
      <w:pPr>
        <w:spacing w:after="0" w:line="240" w:lineRule="auto"/>
        <w:ind w:left="360"/>
        <w:jc w:val="both"/>
        <w:rPr>
          <w:rFonts w:ascii="Cambria" w:hAnsi="Cambria" w:cs="Arial"/>
          <w:sz w:val="24"/>
          <w:szCs w:val="24"/>
        </w:rPr>
      </w:pPr>
    </w:p>
    <w:p w14:paraId="79B10FDF" w14:textId="3E3BDF04" w:rsidR="00B52902" w:rsidRPr="00B52902" w:rsidRDefault="0031511E" w:rsidP="00B52902">
      <w:pPr>
        <w:numPr>
          <w:ilvl w:val="0"/>
          <w:numId w:val="1"/>
        </w:numPr>
        <w:spacing w:after="0" w:line="240" w:lineRule="auto"/>
        <w:jc w:val="both"/>
        <w:rPr>
          <w:rFonts w:ascii="Cambria" w:hAnsi="Cambria" w:cs="Arial"/>
          <w:sz w:val="24"/>
          <w:szCs w:val="24"/>
        </w:rPr>
      </w:pPr>
      <w:r w:rsidRPr="001D2F61">
        <w:rPr>
          <w:rFonts w:asciiTheme="majorHAnsi" w:hAnsiTheme="majorHAnsi" w:cs="Arial"/>
          <w:b/>
          <w:sz w:val="24"/>
          <w:szCs w:val="24"/>
        </w:rPr>
        <w:t>Relationship of Children in Care with their Parents</w:t>
      </w:r>
      <w:r w:rsidRPr="001D2F61">
        <w:rPr>
          <w:rFonts w:asciiTheme="majorHAnsi" w:hAnsiTheme="majorHAnsi" w:cs="Arial"/>
          <w:sz w:val="24"/>
          <w:szCs w:val="24"/>
        </w:rPr>
        <w:t xml:space="preserve"> –</w:t>
      </w:r>
      <w:r>
        <w:rPr>
          <w:rFonts w:asciiTheme="majorHAnsi" w:hAnsiTheme="majorHAnsi" w:cs="Arial"/>
          <w:sz w:val="24"/>
          <w:szCs w:val="24"/>
        </w:rPr>
        <w:t xml:space="preserve"> </w:t>
      </w:r>
      <w:r w:rsidR="00B52902" w:rsidRPr="00B52902">
        <w:rPr>
          <w:rFonts w:asciiTheme="majorHAnsi" w:hAnsiTheme="majorHAnsi" w:cs="Arial"/>
          <w:sz w:val="24"/>
          <w:szCs w:val="24"/>
        </w:rPr>
        <w:t xml:space="preserve">DCFS must work to provide efforts beyond visits to promote and support positive relationships between children in foster care and their parents.  Parents should be allowed to participate in their child’s life events such as </w:t>
      </w:r>
      <w:r w:rsidR="00475FB0">
        <w:rPr>
          <w:rFonts w:asciiTheme="majorHAnsi" w:hAnsiTheme="majorHAnsi" w:cs="Arial"/>
          <w:sz w:val="24"/>
          <w:szCs w:val="24"/>
        </w:rPr>
        <w:t xml:space="preserve">attending </w:t>
      </w:r>
      <w:r w:rsidR="00B52902" w:rsidRPr="00B52902">
        <w:rPr>
          <w:rFonts w:asciiTheme="majorHAnsi" w:hAnsiTheme="majorHAnsi" w:cs="Arial"/>
          <w:sz w:val="24"/>
          <w:szCs w:val="24"/>
        </w:rPr>
        <w:t>school conferences and programs, sports events or medical appointments</w:t>
      </w:r>
      <w:r w:rsidR="00406E3D">
        <w:rPr>
          <w:rFonts w:asciiTheme="majorHAnsi" w:hAnsiTheme="majorHAnsi" w:cs="Arial"/>
          <w:sz w:val="24"/>
          <w:szCs w:val="24"/>
        </w:rPr>
        <w:t>,</w:t>
      </w:r>
      <w:r w:rsidR="00B52902" w:rsidRPr="00B52902">
        <w:rPr>
          <w:rFonts w:asciiTheme="majorHAnsi" w:hAnsiTheme="majorHAnsi" w:cs="Arial"/>
          <w:sz w:val="24"/>
          <w:szCs w:val="24"/>
        </w:rPr>
        <w:t xml:space="preserve"> or </w:t>
      </w:r>
      <w:r w:rsidR="00F830AE">
        <w:rPr>
          <w:rFonts w:asciiTheme="majorHAnsi" w:hAnsiTheme="majorHAnsi" w:cs="Arial"/>
          <w:sz w:val="24"/>
          <w:szCs w:val="24"/>
        </w:rPr>
        <w:t xml:space="preserve">receive </w:t>
      </w:r>
      <w:r w:rsidR="00B52902" w:rsidRPr="00B52902">
        <w:rPr>
          <w:rFonts w:asciiTheme="majorHAnsi" w:hAnsiTheme="majorHAnsi" w:cs="Arial"/>
          <w:sz w:val="24"/>
          <w:szCs w:val="24"/>
        </w:rPr>
        <w:t xml:space="preserve">family therapy whenever appropriate and possible.  </w:t>
      </w:r>
      <w:r w:rsidR="006D2B7F">
        <w:rPr>
          <w:rFonts w:asciiTheme="majorHAnsi" w:hAnsiTheme="majorHAnsi" w:cs="Arial"/>
          <w:sz w:val="24"/>
          <w:szCs w:val="24"/>
        </w:rPr>
        <w:t>D</w:t>
      </w:r>
      <w:r w:rsidR="00F55754">
        <w:rPr>
          <w:rFonts w:asciiTheme="majorHAnsi" w:hAnsiTheme="majorHAnsi" w:cs="Arial"/>
          <w:sz w:val="24"/>
          <w:szCs w:val="24"/>
        </w:rPr>
        <w:t xml:space="preserve">CFS </w:t>
      </w:r>
      <w:r w:rsidR="00B52902" w:rsidRPr="00B52902">
        <w:rPr>
          <w:rFonts w:asciiTheme="majorHAnsi" w:hAnsiTheme="majorHAnsi" w:cs="Arial"/>
          <w:sz w:val="24"/>
          <w:szCs w:val="24"/>
        </w:rPr>
        <w:t>continues to struggle with this measure, and in the 201</w:t>
      </w:r>
      <w:r w:rsidR="006D2B7F">
        <w:rPr>
          <w:rFonts w:asciiTheme="majorHAnsi" w:hAnsiTheme="majorHAnsi" w:cs="Arial"/>
          <w:sz w:val="24"/>
          <w:szCs w:val="24"/>
        </w:rPr>
        <w:t>9</w:t>
      </w:r>
      <w:r w:rsidR="00B52902" w:rsidRPr="00B52902">
        <w:rPr>
          <w:rFonts w:asciiTheme="majorHAnsi" w:hAnsiTheme="majorHAnsi" w:cs="Arial"/>
          <w:sz w:val="24"/>
          <w:szCs w:val="24"/>
        </w:rPr>
        <w:t xml:space="preserve"> round of reviews sufficient efforts were not demonstrated in </w:t>
      </w:r>
      <w:r w:rsidR="00D47B04">
        <w:rPr>
          <w:rFonts w:asciiTheme="majorHAnsi" w:hAnsiTheme="majorHAnsi" w:cs="Arial"/>
          <w:sz w:val="24"/>
          <w:szCs w:val="24"/>
        </w:rPr>
        <w:t>almost half</w:t>
      </w:r>
      <w:r w:rsidR="00B52902" w:rsidRPr="00B52902">
        <w:rPr>
          <w:rFonts w:asciiTheme="majorHAnsi" w:hAnsiTheme="majorHAnsi" w:cs="Arial"/>
          <w:sz w:val="24"/>
          <w:szCs w:val="24"/>
        </w:rPr>
        <w:t xml:space="preserve"> of the reviewed cases (</w:t>
      </w:r>
      <w:r w:rsidR="00B94017">
        <w:rPr>
          <w:rFonts w:asciiTheme="majorHAnsi" w:hAnsiTheme="majorHAnsi" w:cs="Arial"/>
          <w:sz w:val="24"/>
          <w:szCs w:val="24"/>
        </w:rPr>
        <w:t>46</w:t>
      </w:r>
      <w:r w:rsidR="00B52902" w:rsidRPr="00B52902">
        <w:rPr>
          <w:rFonts w:asciiTheme="majorHAnsi" w:hAnsiTheme="majorHAnsi" w:cs="Arial"/>
          <w:sz w:val="24"/>
          <w:szCs w:val="24"/>
        </w:rPr>
        <w:t xml:space="preserve"> percent).  </w:t>
      </w:r>
      <w:r w:rsidR="003572B0">
        <w:rPr>
          <w:rFonts w:asciiTheme="majorHAnsi" w:hAnsiTheme="majorHAnsi" w:cs="Arial"/>
          <w:sz w:val="24"/>
          <w:szCs w:val="24"/>
        </w:rPr>
        <w:t xml:space="preserve">Despite </w:t>
      </w:r>
      <w:r w:rsidR="007F753B">
        <w:rPr>
          <w:rFonts w:asciiTheme="majorHAnsi" w:hAnsiTheme="majorHAnsi" w:cs="Arial"/>
          <w:sz w:val="24"/>
          <w:szCs w:val="24"/>
        </w:rPr>
        <w:t>the state continuing to struggle with maintaining relationships of children in care with their parents (Item 11), significant improvement</w:t>
      </w:r>
      <w:r w:rsidR="00244870">
        <w:rPr>
          <w:rFonts w:asciiTheme="majorHAnsi" w:hAnsiTheme="majorHAnsi" w:cs="Arial"/>
          <w:sz w:val="24"/>
          <w:szCs w:val="24"/>
        </w:rPr>
        <w:t xml:space="preserve">s of </w:t>
      </w:r>
      <w:r w:rsidR="00A047A2">
        <w:rPr>
          <w:rFonts w:asciiTheme="majorHAnsi" w:hAnsiTheme="majorHAnsi" w:cs="Arial"/>
          <w:sz w:val="24"/>
          <w:szCs w:val="24"/>
        </w:rPr>
        <w:t xml:space="preserve">21 and </w:t>
      </w:r>
      <w:r w:rsidR="00FB53D4">
        <w:rPr>
          <w:rFonts w:asciiTheme="majorHAnsi" w:hAnsiTheme="majorHAnsi" w:cs="Arial"/>
          <w:sz w:val="24"/>
          <w:szCs w:val="24"/>
        </w:rPr>
        <w:t xml:space="preserve">6 percentage points </w:t>
      </w:r>
      <w:r w:rsidR="007F753B">
        <w:rPr>
          <w:rFonts w:asciiTheme="majorHAnsi" w:hAnsiTheme="majorHAnsi" w:cs="Arial"/>
          <w:sz w:val="24"/>
          <w:szCs w:val="24"/>
        </w:rPr>
        <w:t xml:space="preserve">have been made from </w:t>
      </w:r>
      <w:r w:rsidR="00475FB0">
        <w:rPr>
          <w:rFonts w:asciiTheme="majorHAnsi" w:hAnsiTheme="majorHAnsi" w:cs="Arial"/>
          <w:sz w:val="24"/>
          <w:szCs w:val="24"/>
        </w:rPr>
        <w:t xml:space="preserve">the </w:t>
      </w:r>
      <w:r w:rsidR="007F753B">
        <w:rPr>
          <w:rFonts w:asciiTheme="majorHAnsi" w:hAnsiTheme="majorHAnsi" w:cs="Arial"/>
          <w:sz w:val="24"/>
          <w:szCs w:val="24"/>
        </w:rPr>
        <w:t xml:space="preserve">SFY 2018 </w:t>
      </w:r>
      <w:r w:rsidR="00475FB0">
        <w:rPr>
          <w:rFonts w:asciiTheme="majorHAnsi" w:hAnsiTheme="majorHAnsi" w:cs="Arial"/>
          <w:sz w:val="24"/>
          <w:szCs w:val="24"/>
        </w:rPr>
        <w:t xml:space="preserve">QSPR </w:t>
      </w:r>
      <w:r w:rsidR="007F753B">
        <w:rPr>
          <w:rFonts w:asciiTheme="majorHAnsi" w:hAnsiTheme="majorHAnsi" w:cs="Arial"/>
          <w:sz w:val="24"/>
          <w:szCs w:val="24"/>
        </w:rPr>
        <w:t>and Round 3 CFSR</w:t>
      </w:r>
      <w:r w:rsidR="00FB53D4">
        <w:rPr>
          <w:rFonts w:asciiTheme="majorHAnsi" w:hAnsiTheme="majorHAnsi" w:cs="Arial"/>
          <w:sz w:val="24"/>
          <w:szCs w:val="24"/>
        </w:rPr>
        <w:t>, respectively.</w:t>
      </w:r>
      <w:r w:rsidR="007F753B">
        <w:rPr>
          <w:rFonts w:asciiTheme="majorHAnsi" w:hAnsiTheme="majorHAnsi" w:cs="Arial"/>
          <w:sz w:val="24"/>
          <w:szCs w:val="24"/>
        </w:rPr>
        <w:t xml:space="preserve"> </w:t>
      </w:r>
    </w:p>
    <w:p w14:paraId="06AD31C9" w14:textId="77777777" w:rsidR="00B52902" w:rsidRDefault="00B52902" w:rsidP="00B52902">
      <w:pPr>
        <w:spacing w:after="0" w:line="240" w:lineRule="auto"/>
        <w:ind w:left="360"/>
        <w:jc w:val="both"/>
        <w:rPr>
          <w:rFonts w:ascii="Cambria" w:hAnsi="Cambria" w:cs="Arial"/>
          <w:sz w:val="24"/>
          <w:szCs w:val="24"/>
        </w:rPr>
      </w:pPr>
    </w:p>
    <w:p w14:paraId="13099352" w14:textId="335546DF" w:rsidR="002C2237" w:rsidRPr="00B52902" w:rsidRDefault="00B52902" w:rsidP="00B52902">
      <w:pPr>
        <w:spacing w:after="0" w:line="240" w:lineRule="auto"/>
        <w:ind w:left="360"/>
        <w:jc w:val="both"/>
        <w:rPr>
          <w:rFonts w:ascii="Cambria" w:hAnsi="Cambria" w:cs="Arial"/>
          <w:sz w:val="24"/>
          <w:szCs w:val="24"/>
        </w:rPr>
      </w:pPr>
      <w:r w:rsidRPr="00B52902">
        <w:rPr>
          <w:rFonts w:asciiTheme="majorHAnsi" w:hAnsiTheme="majorHAnsi" w:cs="Arial"/>
          <w:sz w:val="24"/>
          <w:szCs w:val="24"/>
        </w:rPr>
        <w:t xml:space="preserve">All </w:t>
      </w:r>
      <w:r w:rsidR="00475FB0">
        <w:rPr>
          <w:rFonts w:asciiTheme="majorHAnsi" w:hAnsiTheme="majorHAnsi" w:cs="Arial"/>
          <w:sz w:val="24"/>
          <w:szCs w:val="24"/>
        </w:rPr>
        <w:t>service a</w:t>
      </w:r>
      <w:r w:rsidRPr="00B52902">
        <w:rPr>
          <w:rFonts w:asciiTheme="majorHAnsi" w:hAnsiTheme="majorHAnsi" w:cs="Arial"/>
          <w:sz w:val="24"/>
          <w:szCs w:val="24"/>
        </w:rPr>
        <w:t xml:space="preserve">reas had significant difficulty with this measure during </w:t>
      </w:r>
      <w:r w:rsidR="00475FB0">
        <w:rPr>
          <w:rFonts w:asciiTheme="majorHAnsi" w:hAnsiTheme="majorHAnsi" w:cs="Arial"/>
          <w:sz w:val="24"/>
          <w:szCs w:val="24"/>
        </w:rPr>
        <w:t xml:space="preserve">the </w:t>
      </w:r>
      <w:r w:rsidRPr="00B52902">
        <w:rPr>
          <w:rFonts w:asciiTheme="majorHAnsi" w:hAnsiTheme="majorHAnsi" w:cs="Arial"/>
          <w:sz w:val="24"/>
          <w:szCs w:val="24"/>
        </w:rPr>
        <w:t>SFY 201</w:t>
      </w:r>
      <w:r w:rsidR="00A77746">
        <w:rPr>
          <w:rFonts w:asciiTheme="majorHAnsi" w:hAnsiTheme="majorHAnsi" w:cs="Arial"/>
          <w:sz w:val="24"/>
          <w:szCs w:val="24"/>
        </w:rPr>
        <w:t>9</w:t>
      </w:r>
      <w:r w:rsidR="00475FB0">
        <w:rPr>
          <w:rFonts w:asciiTheme="majorHAnsi" w:hAnsiTheme="majorHAnsi" w:cs="Arial"/>
          <w:sz w:val="24"/>
          <w:szCs w:val="24"/>
        </w:rPr>
        <w:t xml:space="preserve"> QSPR review period</w:t>
      </w:r>
      <w:r w:rsidRPr="00B52902">
        <w:rPr>
          <w:rFonts w:asciiTheme="majorHAnsi" w:hAnsiTheme="majorHAnsi" w:cs="Arial"/>
          <w:sz w:val="24"/>
          <w:szCs w:val="24"/>
        </w:rPr>
        <w:t>, with none achieving substantial conformity</w:t>
      </w:r>
      <w:r w:rsidR="00417196">
        <w:rPr>
          <w:rFonts w:asciiTheme="majorHAnsi" w:hAnsiTheme="majorHAnsi" w:cs="Arial"/>
          <w:sz w:val="24"/>
          <w:szCs w:val="24"/>
        </w:rPr>
        <w:t xml:space="preserve"> or </w:t>
      </w:r>
      <w:r w:rsidR="00155AD3">
        <w:rPr>
          <w:rFonts w:asciiTheme="majorHAnsi" w:hAnsiTheme="majorHAnsi" w:cs="Arial"/>
          <w:sz w:val="24"/>
          <w:szCs w:val="24"/>
        </w:rPr>
        <w:t xml:space="preserve">even </w:t>
      </w:r>
      <w:r w:rsidR="00417196">
        <w:rPr>
          <w:rFonts w:asciiTheme="majorHAnsi" w:hAnsiTheme="majorHAnsi" w:cs="Arial"/>
          <w:sz w:val="24"/>
          <w:szCs w:val="24"/>
        </w:rPr>
        <w:t xml:space="preserve">receiving a rating over </w:t>
      </w:r>
      <w:r w:rsidR="00283050">
        <w:rPr>
          <w:rFonts w:asciiTheme="majorHAnsi" w:hAnsiTheme="majorHAnsi" w:cs="Arial"/>
          <w:sz w:val="24"/>
          <w:szCs w:val="24"/>
        </w:rPr>
        <w:t>73</w:t>
      </w:r>
      <w:r w:rsidR="00155AD3">
        <w:rPr>
          <w:rFonts w:asciiTheme="majorHAnsi" w:hAnsiTheme="majorHAnsi" w:cs="Arial"/>
          <w:sz w:val="24"/>
          <w:szCs w:val="24"/>
        </w:rPr>
        <w:t xml:space="preserve"> percent</w:t>
      </w:r>
      <w:r w:rsidRPr="00B52902">
        <w:rPr>
          <w:rFonts w:asciiTheme="majorHAnsi" w:hAnsiTheme="majorHAnsi" w:cs="Arial"/>
          <w:sz w:val="24"/>
          <w:szCs w:val="24"/>
        </w:rPr>
        <w:t>.  Areas 1</w:t>
      </w:r>
      <w:r w:rsidR="00EA5436">
        <w:rPr>
          <w:rFonts w:asciiTheme="majorHAnsi" w:hAnsiTheme="majorHAnsi" w:cs="Arial"/>
          <w:sz w:val="24"/>
          <w:szCs w:val="24"/>
        </w:rPr>
        <w:t xml:space="preserve">, 3 and 6 </w:t>
      </w:r>
      <w:r w:rsidRPr="00B52902">
        <w:rPr>
          <w:rFonts w:asciiTheme="majorHAnsi" w:hAnsiTheme="majorHAnsi" w:cs="Arial"/>
          <w:sz w:val="24"/>
          <w:szCs w:val="24"/>
        </w:rPr>
        <w:t xml:space="preserve">fared the worst, putting forth sufficient efforts in only </w:t>
      </w:r>
      <w:r w:rsidR="00C27495">
        <w:rPr>
          <w:rFonts w:asciiTheme="majorHAnsi" w:hAnsiTheme="majorHAnsi" w:cs="Arial"/>
          <w:sz w:val="24"/>
          <w:szCs w:val="24"/>
        </w:rPr>
        <w:t>44</w:t>
      </w:r>
      <w:r w:rsidRPr="00B52902">
        <w:rPr>
          <w:rFonts w:asciiTheme="majorHAnsi" w:hAnsiTheme="majorHAnsi" w:cs="Arial"/>
          <w:sz w:val="24"/>
          <w:szCs w:val="24"/>
        </w:rPr>
        <w:t xml:space="preserve"> percent</w:t>
      </w:r>
      <w:r w:rsidR="00C27495">
        <w:rPr>
          <w:rFonts w:asciiTheme="majorHAnsi" w:hAnsiTheme="majorHAnsi" w:cs="Arial"/>
          <w:sz w:val="24"/>
          <w:szCs w:val="24"/>
        </w:rPr>
        <w:t xml:space="preserve"> (Area 1 and 3)</w:t>
      </w:r>
      <w:r w:rsidR="00A833D8">
        <w:rPr>
          <w:rFonts w:asciiTheme="majorHAnsi" w:hAnsiTheme="majorHAnsi" w:cs="Arial"/>
          <w:sz w:val="24"/>
          <w:szCs w:val="24"/>
        </w:rPr>
        <w:t xml:space="preserve"> and 25 percent (Area 6)</w:t>
      </w:r>
      <w:r w:rsidRPr="00B52902">
        <w:rPr>
          <w:rFonts w:asciiTheme="majorHAnsi" w:hAnsiTheme="majorHAnsi" w:cs="Arial"/>
          <w:sz w:val="24"/>
          <w:szCs w:val="24"/>
        </w:rPr>
        <w:t xml:space="preserve"> of the reviewed cases</w:t>
      </w:r>
      <w:r w:rsidR="002B6F29">
        <w:rPr>
          <w:rFonts w:asciiTheme="majorHAnsi" w:hAnsiTheme="majorHAnsi" w:cs="Arial"/>
          <w:sz w:val="24"/>
          <w:szCs w:val="24"/>
        </w:rPr>
        <w:t xml:space="preserve">, with Areas 3 and 6 both decreasing in performance in comparison to </w:t>
      </w:r>
      <w:r w:rsidR="003D2F54">
        <w:rPr>
          <w:rFonts w:asciiTheme="majorHAnsi" w:hAnsiTheme="majorHAnsi" w:cs="Arial"/>
          <w:sz w:val="24"/>
          <w:szCs w:val="24"/>
        </w:rPr>
        <w:t xml:space="preserve">both </w:t>
      </w:r>
      <w:r w:rsidR="00475FB0">
        <w:rPr>
          <w:rFonts w:asciiTheme="majorHAnsi" w:hAnsiTheme="majorHAnsi" w:cs="Arial"/>
          <w:sz w:val="24"/>
          <w:szCs w:val="24"/>
        </w:rPr>
        <w:t xml:space="preserve">the </w:t>
      </w:r>
      <w:r w:rsidR="002B6F29">
        <w:rPr>
          <w:rFonts w:asciiTheme="majorHAnsi" w:hAnsiTheme="majorHAnsi" w:cs="Arial"/>
          <w:sz w:val="24"/>
          <w:szCs w:val="24"/>
        </w:rPr>
        <w:t>SFY 2018</w:t>
      </w:r>
      <w:r w:rsidR="003D2F54">
        <w:rPr>
          <w:rFonts w:asciiTheme="majorHAnsi" w:hAnsiTheme="majorHAnsi" w:cs="Arial"/>
          <w:sz w:val="24"/>
          <w:szCs w:val="24"/>
        </w:rPr>
        <w:t xml:space="preserve"> </w:t>
      </w:r>
      <w:r w:rsidR="00475FB0">
        <w:rPr>
          <w:rFonts w:asciiTheme="majorHAnsi" w:hAnsiTheme="majorHAnsi" w:cs="Arial"/>
          <w:sz w:val="24"/>
          <w:szCs w:val="24"/>
        </w:rPr>
        <w:t xml:space="preserve">QSPR </w:t>
      </w:r>
      <w:r w:rsidR="003D2F54">
        <w:rPr>
          <w:rFonts w:asciiTheme="majorHAnsi" w:hAnsiTheme="majorHAnsi" w:cs="Arial"/>
          <w:sz w:val="24"/>
          <w:szCs w:val="24"/>
        </w:rPr>
        <w:t>and Round 3 CFSR</w:t>
      </w:r>
      <w:r w:rsidR="00A833D8">
        <w:rPr>
          <w:rFonts w:asciiTheme="majorHAnsi" w:hAnsiTheme="majorHAnsi" w:cs="Arial"/>
          <w:sz w:val="24"/>
          <w:szCs w:val="24"/>
        </w:rPr>
        <w:t xml:space="preserve">. </w:t>
      </w:r>
      <w:r w:rsidR="00A833D8" w:rsidRPr="00B52902">
        <w:rPr>
          <w:rFonts w:asciiTheme="majorHAnsi" w:hAnsiTheme="majorHAnsi" w:cs="Arial"/>
          <w:sz w:val="24"/>
          <w:szCs w:val="24"/>
        </w:rPr>
        <w:t xml:space="preserve">As in past reviews, the majority of the deficiencies resulted from the Agency’s lack of contact with and engagement of parents.  </w:t>
      </w:r>
      <w:r w:rsidR="001F22DB">
        <w:rPr>
          <w:rFonts w:asciiTheme="majorHAnsi" w:hAnsiTheme="majorHAnsi" w:cs="Arial"/>
          <w:sz w:val="24"/>
          <w:szCs w:val="24"/>
        </w:rPr>
        <w:t>Staff in Areas 1 and 3 did not</w:t>
      </w:r>
      <w:r w:rsidR="00DD76DD">
        <w:rPr>
          <w:rFonts w:asciiTheme="majorHAnsi" w:hAnsiTheme="majorHAnsi" w:cs="Arial"/>
          <w:sz w:val="24"/>
          <w:szCs w:val="24"/>
        </w:rPr>
        <w:t xml:space="preserve"> invite or</w:t>
      </w:r>
      <w:r w:rsidR="00441E95">
        <w:rPr>
          <w:rFonts w:asciiTheme="majorHAnsi" w:hAnsiTheme="majorHAnsi" w:cs="Arial"/>
          <w:sz w:val="24"/>
          <w:szCs w:val="24"/>
        </w:rPr>
        <w:t xml:space="preserve"> encourage</w:t>
      </w:r>
      <w:r w:rsidR="001F22DB">
        <w:rPr>
          <w:rFonts w:asciiTheme="majorHAnsi" w:hAnsiTheme="majorHAnsi" w:cs="Arial"/>
          <w:sz w:val="24"/>
          <w:szCs w:val="24"/>
        </w:rPr>
        <w:t xml:space="preserve"> parents</w:t>
      </w:r>
      <w:r w:rsidR="00DD76DD">
        <w:rPr>
          <w:rFonts w:asciiTheme="majorHAnsi" w:hAnsiTheme="majorHAnsi" w:cs="Arial"/>
          <w:sz w:val="24"/>
          <w:szCs w:val="24"/>
        </w:rPr>
        <w:t xml:space="preserve"> to attend </w:t>
      </w:r>
      <w:r w:rsidR="00E6345F">
        <w:rPr>
          <w:rFonts w:asciiTheme="majorHAnsi" w:hAnsiTheme="majorHAnsi" w:cs="Arial"/>
          <w:sz w:val="24"/>
          <w:szCs w:val="24"/>
        </w:rPr>
        <w:t>medical appointment</w:t>
      </w:r>
      <w:r w:rsidR="00475FB0">
        <w:rPr>
          <w:rFonts w:asciiTheme="majorHAnsi" w:hAnsiTheme="majorHAnsi" w:cs="Arial"/>
          <w:sz w:val="24"/>
          <w:szCs w:val="24"/>
        </w:rPr>
        <w:t>s</w:t>
      </w:r>
      <w:r w:rsidR="00E6345F">
        <w:rPr>
          <w:rFonts w:asciiTheme="majorHAnsi" w:hAnsiTheme="majorHAnsi" w:cs="Arial"/>
          <w:sz w:val="24"/>
          <w:szCs w:val="24"/>
        </w:rPr>
        <w:t>, school events, or PACE evaluations</w:t>
      </w:r>
      <w:r w:rsidR="0070412D">
        <w:rPr>
          <w:rFonts w:asciiTheme="majorHAnsi" w:hAnsiTheme="majorHAnsi" w:cs="Arial"/>
          <w:sz w:val="24"/>
          <w:szCs w:val="24"/>
        </w:rPr>
        <w:t xml:space="preserve">, even when </w:t>
      </w:r>
      <w:r w:rsidR="00970D1B">
        <w:rPr>
          <w:rFonts w:asciiTheme="majorHAnsi" w:hAnsiTheme="majorHAnsi" w:cs="Arial"/>
          <w:sz w:val="24"/>
          <w:szCs w:val="24"/>
        </w:rPr>
        <w:t>the parents were compliant and consistently attending visitation</w:t>
      </w:r>
      <w:r w:rsidR="00EA6F80">
        <w:rPr>
          <w:rFonts w:asciiTheme="majorHAnsi" w:hAnsiTheme="majorHAnsi" w:cs="Arial"/>
          <w:sz w:val="24"/>
          <w:szCs w:val="24"/>
        </w:rPr>
        <w:t xml:space="preserve">. </w:t>
      </w:r>
      <w:r w:rsidR="00E9079D" w:rsidRPr="00E9079D">
        <w:rPr>
          <w:rFonts w:asciiTheme="majorHAnsi" w:hAnsiTheme="majorHAnsi" w:cs="Arial"/>
          <w:sz w:val="24"/>
          <w:szCs w:val="24"/>
        </w:rPr>
        <w:t xml:space="preserve">Area </w:t>
      </w:r>
      <w:r w:rsidR="00E9079D">
        <w:rPr>
          <w:rFonts w:asciiTheme="majorHAnsi" w:hAnsiTheme="majorHAnsi" w:cs="Arial"/>
          <w:sz w:val="24"/>
          <w:szCs w:val="24"/>
        </w:rPr>
        <w:t xml:space="preserve">6 </w:t>
      </w:r>
      <w:r w:rsidR="00E9079D" w:rsidRPr="00E9079D">
        <w:rPr>
          <w:rFonts w:asciiTheme="majorHAnsi" w:hAnsiTheme="majorHAnsi" w:cs="Arial"/>
          <w:sz w:val="24"/>
          <w:szCs w:val="24"/>
        </w:rPr>
        <w:t xml:space="preserve">staff reported that it was not common practice to include parents in activities such as school events or conferences, or medical/therapeutic appointments unless reunification with that parent was imminent. It was also noted local courts do not make it a point to encourage parents’ involvement in settings not directly supervised by Agency staff, regardless of the willingness or ability of a foster parent to supervise.  </w:t>
      </w:r>
      <w:r w:rsidR="002C2237" w:rsidRPr="00B52902">
        <w:rPr>
          <w:rFonts w:ascii="Cambria" w:hAnsi="Cambria" w:cs="Arial"/>
          <w:sz w:val="24"/>
          <w:szCs w:val="24"/>
        </w:rPr>
        <w:br w:type="page"/>
      </w:r>
    </w:p>
    <w:p w14:paraId="1C578E61" w14:textId="57E52CFE" w:rsidR="002C2237" w:rsidRPr="00934946" w:rsidRDefault="002C2237" w:rsidP="002C2237">
      <w:pPr>
        <w:pBdr>
          <w:bottom w:val="single" w:sz="12" w:space="1" w:color="auto"/>
        </w:pBdr>
        <w:tabs>
          <w:tab w:val="left" w:pos="2010"/>
        </w:tabs>
        <w:spacing w:after="0" w:line="240" w:lineRule="auto"/>
        <w:rPr>
          <w:rFonts w:asciiTheme="majorHAnsi" w:hAnsiTheme="majorHAnsi"/>
          <w:b/>
          <w:smallCaps/>
          <w:sz w:val="28"/>
          <w:szCs w:val="28"/>
        </w:rPr>
      </w:pPr>
      <w:r w:rsidRPr="00934946">
        <w:rPr>
          <w:rFonts w:asciiTheme="majorHAnsi" w:hAnsiTheme="majorHAnsi"/>
          <w:b/>
          <w:smallCaps/>
          <w:sz w:val="28"/>
          <w:szCs w:val="28"/>
        </w:rPr>
        <w:t>Well-Being</w:t>
      </w:r>
      <w:r w:rsidRPr="00934946">
        <w:rPr>
          <w:rFonts w:asciiTheme="majorHAnsi" w:hAnsiTheme="majorHAnsi"/>
          <w:b/>
          <w:smallCaps/>
          <w:sz w:val="28"/>
          <w:szCs w:val="28"/>
        </w:rPr>
        <w:tab/>
      </w:r>
    </w:p>
    <w:p w14:paraId="50D058B3" w14:textId="77777777" w:rsidR="0074445B" w:rsidRDefault="0074445B" w:rsidP="0074445B">
      <w:pPr>
        <w:spacing w:after="0" w:line="240" w:lineRule="auto"/>
        <w:jc w:val="both"/>
        <w:rPr>
          <w:rFonts w:ascii="Cambria" w:hAnsi="Cambria" w:cs="Arial"/>
          <w:sz w:val="24"/>
          <w:szCs w:val="24"/>
        </w:rPr>
      </w:pPr>
    </w:p>
    <w:p w14:paraId="2E950F83" w14:textId="56A4BC22" w:rsidR="00822FF7" w:rsidRDefault="00822FF7" w:rsidP="00822FF7">
      <w:pPr>
        <w:spacing w:after="0" w:line="240" w:lineRule="auto"/>
        <w:jc w:val="both"/>
        <w:rPr>
          <w:rFonts w:ascii="Cambria" w:hAnsi="Cambria" w:cs="Arial"/>
          <w:sz w:val="24"/>
          <w:szCs w:val="24"/>
        </w:rPr>
      </w:pPr>
      <w:r>
        <w:rPr>
          <w:rFonts w:ascii="Cambria" w:hAnsi="Cambria" w:cs="Arial"/>
          <w:sz w:val="24"/>
          <w:szCs w:val="24"/>
        </w:rPr>
        <w:t xml:space="preserve">Within the field of child welfare, the broad goal of well-being focuses on the healthy development and functioning of children and adolescents, those conditions that allow children to flourish throughout childhood and into adulthood.  Family relationships impact child well-being, including the parenting and home environments, so the parents’ and family’s well-being must also be considered here.  The Administration </w:t>
      </w:r>
      <w:r w:rsidR="006E03C7">
        <w:rPr>
          <w:rFonts w:ascii="Cambria" w:hAnsi="Cambria" w:cs="Arial"/>
          <w:sz w:val="24"/>
          <w:szCs w:val="24"/>
        </w:rPr>
        <w:t xml:space="preserve">for </w:t>
      </w:r>
      <w:r>
        <w:rPr>
          <w:rFonts w:ascii="Cambria" w:hAnsi="Cambria" w:cs="Arial"/>
          <w:sz w:val="24"/>
          <w:szCs w:val="24"/>
        </w:rPr>
        <w:t>Children and Families has identified four domains of child well-being: cognitive functioning; physical health and development; emotional/behavioral functioning</w:t>
      </w:r>
      <w:r w:rsidR="006E03C7">
        <w:rPr>
          <w:rFonts w:ascii="Cambria" w:hAnsi="Cambria" w:cs="Arial"/>
          <w:sz w:val="24"/>
          <w:szCs w:val="24"/>
        </w:rPr>
        <w:t>;</w:t>
      </w:r>
      <w:r>
        <w:rPr>
          <w:rFonts w:ascii="Cambria" w:hAnsi="Cambria" w:cs="Arial"/>
          <w:sz w:val="24"/>
          <w:szCs w:val="24"/>
        </w:rPr>
        <w:t xml:space="preserve"> and social functioning.  The Round 3 OSRI emphasizes these domains in assessing child and family well-being.</w:t>
      </w:r>
    </w:p>
    <w:p w14:paraId="2780F33A" w14:textId="77777777" w:rsidR="00822FF7" w:rsidRDefault="00822FF7" w:rsidP="00822FF7">
      <w:pPr>
        <w:spacing w:after="0" w:line="240" w:lineRule="auto"/>
        <w:jc w:val="both"/>
        <w:rPr>
          <w:rFonts w:ascii="Cambria" w:hAnsi="Cambria" w:cs="Arial"/>
          <w:sz w:val="24"/>
          <w:szCs w:val="24"/>
        </w:rPr>
      </w:pPr>
    </w:p>
    <w:p w14:paraId="18FFBB5C" w14:textId="56DDEC5A" w:rsidR="00822FF7" w:rsidRDefault="00822FF7" w:rsidP="00822FF7">
      <w:pPr>
        <w:spacing w:after="0" w:line="240" w:lineRule="auto"/>
        <w:jc w:val="both"/>
        <w:rPr>
          <w:rFonts w:asciiTheme="majorHAnsi" w:hAnsiTheme="majorHAnsi" w:cs="Arial"/>
          <w:sz w:val="24"/>
          <w:szCs w:val="24"/>
        </w:rPr>
      </w:pPr>
      <w:r w:rsidRPr="00A719AC">
        <w:rPr>
          <w:rFonts w:ascii="Cambria" w:hAnsi="Cambria" w:cs="Arial"/>
          <w:sz w:val="24"/>
          <w:szCs w:val="24"/>
        </w:rPr>
        <w:t>DCFS was largely successful at tending to the educational needs of children involved with the Division</w:t>
      </w:r>
      <w:r w:rsidR="006E03C7">
        <w:rPr>
          <w:rFonts w:ascii="Cambria" w:hAnsi="Cambria" w:cs="Arial"/>
          <w:sz w:val="24"/>
          <w:szCs w:val="24"/>
        </w:rPr>
        <w:t>, achieving</w:t>
      </w:r>
      <w:r w:rsidR="008C2FE1">
        <w:rPr>
          <w:rFonts w:ascii="Cambria" w:hAnsi="Cambria" w:cs="Arial"/>
          <w:sz w:val="24"/>
          <w:szCs w:val="24"/>
        </w:rPr>
        <w:t xml:space="preserve"> a </w:t>
      </w:r>
      <w:r w:rsidR="006E03C7">
        <w:rPr>
          <w:rFonts w:ascii="Cambria" w:hAnsi="Cambria" w:cs="Arial"/>
          <w:sz w:val="24"/>
          <w:szCs w:val="24"/>
        </w:rPr>
        <w:t xml:space="preserve">near </w:t>
      </w:r>
      <w:r w:rsidR="008C2FE1">
        <w:rPr>
          <w:rFonts w:ascii="Cambria" w:hAnsi="Cambria" w:cs="Arial"/>
          <w:sz w:val="24"/>
          <w:szCs w:val="24"/>
        </w:rPr>
        <w:t>strength rating (93 percent)</w:t>
      </w:r>
      <w:r w:rsidRPr="00A719AC">
        <w:rPr>
          <w:rFonts w:ascii="Cambria" w:hAnsi="Cambria" w:cs="Arial"/>
          <w:sz w:val="24"/>
          <w:szCs w:val="24"/>
        </w:rPr>
        <w:t xml:space="preserve">.  Similar to past years, Arkansas struggled </w:t>
      </w:r>
      <w:r w:rsidR="00D87A05">
        <w:rPr>
          <w:rFonts w:ascii="Cambria" w:hAnsi="Cambria" w:cs="Arial"/>
          <w:sz w:val="24"/>
          <w:szCs w:val="24"/>
        </w:rPr>
        <w:t xml:space="preserve">the </w:t>
      </w:r>
      <w:r w:rsidRPr="00A719AC">
        <w:rPr>
          <w:rFonts w:ascii="Cambria" w:hAnsi="Cambria" w:cs="Arial"/>
          <w:sz w:val="24"/>
          <w:szCs w:val="24"/>
        </w:rPr>
        <w:t xml:space="preserve">most with </w:t>
      </w:r>
      <w:r w:rsidR="00EA6714">
        <w:rPr>
          <w:rFonts w:ascii="Cambria" w:hAnsi="Cambria" w:cs="Arial"/>
          <w:sz w:val="24"/>
          <w:szCs w:val="24"/>
        </w:rPr>
        <w:t>families having enhanced capacity to provide for their children’s needs (</w:t>
      </w:r>
      <w:r w:rsidRPr="00A719AC">
        <w:rPr>
          <w:rFonts w:ascii="Cambria" w:hAnsi="Cambria" w:cs="Arial"/>
          <w:sz w:val="24"/>
          <w:szCs w:val="24"/>
        </w:rPr>
        <w:t>Well-Bei</w:t>
      </w:r>
      <w:r w:rsidR="00A719AC" w:rsidRPr="00A719AC">
        <w:rPr>
          <w:rFonts w:ascii="Cambria" w:hAnsi="Cambria" w:cs="Arial"/>
          <w:sz w:val="24"/>
          <w:szCs w:val="24"/>
        </w:rPr>
        <w:t>ng Outcome 1</w:t>
      </w:r>
      <w:r w:rsidR="00EA6714">
        <w:rPr>
          <w:rFonts w:ascii="Cambria" w:hAnsi="Cambria" w:cs="Arial"/>
          <w:sz w:val="24"/>
          <w:szCs w:val="24"/>
        </w:rPr>
        <w:t>)</w:t>
      </w:r>
      <w:r w:rsidR="00A719AC" w:rsidRPr="00A719AC">
        <w:rPr>
          <w:rFonts w:ascii="Cambria" w:hAnsi="Cambria" w:cs="Arial"/>
          <w:sz w:val="24"/>
          <w:szCs w:val="24"/>
        </w:rPr>
        <w:t xml:space="preserve"> during the SFY 201</w:t>
      </w:r>
      <w:r w:rsidR="00F807C2">
        <w:rPr>
          <w:rFonts w:ascii="Cambria" w:hAnsi="Cambria" w:cs="Arial"/>
          <w:sz w:val="24"/>
          <w:szCs w:val="24"/>
        </w:rPr>
        <w:t>9</w:t>
      </w:r>
      <w:r w:rsidRPr="00A719AC">
        <w:rPr>
          <w:rFonts w:ascii="Cambria" w:hAnsi="Cambria" w:cs="Arial"/>
          <w:sz w:val="24"/>
          <w:szCs w:val="24"/>
        </w:rPr>
        <w:t xml:space="preserve"> QSPR.  </w:t>
      </w:r>
      <w:r w:rsidRPr="00A719AC">
        <w:rPr>
          <w:rFonts w:asciiTheme="majorHAnsi" w:hAnsiTheme="majorHAnsi" w:cs="Arial"/>
          <w:sz w:val="24"/>
          <w:szCs w:val="24"/>
        </w:rPr>
        <w:t xml:space="preserve">The Agency often did not properly assess and address the needs of children and families, nor did </w:t>
      </w:r>
      <w:r w:rsidR="00F66790">
        <w:rPr>
          <w:rFonts w:asciiTheme="majorHAnsi" w:hAnsiTheme="majorHAnsi" w:cs="Arial"/>
          <w:sz w:val="24"/>
          <w:szCs w:val="24"/>
        </w:rPr>
        <w:t>caseworker</w:t>
      </w:r>
      <w:r w:rsidR="006E03C7">
        <w:rPr>
          <w:rFonts w:asciiTheme="majorHAnsi" w:hAnsiTheme="majorHAnsi" w:cs="Arial"/>
          <w:sz w:val="24"/>
          <w:szCs w:val="24"/>
        </w:rPr>
        <w:t>s</w:t>
      </w:r>
      <w:r w:rsidR="00F66790">
        <w:rPr>
          <w:rFonts w:asciiTheme="majorHAnsi" w:hAnsiTheme="majorHAnsi" w:cs="Arial"/>
          <w:sz w:val="24"/>
          <w:szCs w:val="24"/>
        </w:rPr>
        <w:t xml:space="preserve"> visit with parents </w:t>
      </w:r>
      <w:r w:rsidR="00AE2D52">
        <w:rPr>
          <w:rFonts w:asciiTheme="majorHAnsi" w:hAnsiTheme="majorHAnsi" w:cs="Arial"/>
          <w:sz w:val="24"/>
          <w:szCs w:val="24"/>
        </w:rPr>
        <w:t>as often as is</w:t>
      </w:r>
      <w:r w:rsidR="00A92B5B">
        <w:rPr>
          <w:rFonts w:asciiTheme="majorHAnsi" w:hAnsiTheme="majorHAnsi" w:cs="Arial"/>
          <w:sz w:val="24"/>
          <w:szCs w:val="24"/>
        </w:rPr>
        <w:t xml:space="preserve"> required</w:t>
      </w:r>
      <w:r w:rsidRPr="00A719AC">
        <w:rPr>
          <w:rFonts w:asciiTheme="majorHAnsi" w:hAnsiTheme="majorHAnsi" w:cs="Arial"/>
          <w:sz w:val="24"/>
          <w:szCs w:val="24"/>
        </w:rPr>
        <w:t xml:space="preserve">.  Many of DCFS’ problems in these areas of practice stem from </w:t>
      </w:r>
      <w:r w:rsidR="006E03C7">
        <w:rPr>
          <w:rFonts w:asciiTheme="majorHAnsi" w:hAnsiTheme="majorHAnsi" w:cs="Arial"/>
          <w:sz w:val="24"/>
          <w:szCs w:val="24"/>
        </w:rPr>
        <w:t>the</w:t>
      </w:r>
      <w:r w:rsidR="006E03C7" w:rsidRPr="00A719AC">
        <w:rPr>
          <w:rFonts w:asciiTheme="majorHAnsi" w:hAnsiTheme="majorHAnsi" w:cs="Arial"/>
          <w:sz w:val="24"/>
          <w:szCs w:val="24"/>
        </w:rPr>
        <w:t xml:space="preserve"> </w:t>
      </w:r>
      <w:r w:rsidRPr="00A719AC">
        <w:rPr>
          <w:rFonts w:asciiTheme="majorHAnsi" w:hAnsiTheme="majorHAnsi" w:cs="Arial"/>
          <w:sz w:val="24"/>
          <w:szCs w:val="24"/>
        </w:rPr>
        <w:t>failure to consistently provide clients with sufficiently frequent contact.</w:t>
      </w:r>
      <w:r w:rsidR="00B35C25">
        <w:rPr>
          <w:rFonts w:asciiTheme="majorHAnsi" w:hAnsiTheme="majorHAnsi" w:cs="Arial"/>
          <w:sz w:val="24"/>
          <w:szCs w:val="24"/>
        </w:rPr>
        <w:t xml:space="preserve"> In addition, c</w:t>
      </w:r>
      <w:r w:rsidR="00B35C25" w:rsidRPr="00B35C25">
        <w:rPr>
          <w:rFonts w:asciiTheme="majorHAnsi" w:hAnsiTheme="majorHAnsi" w:cs="Arial"/>
          <w:sz w:val="24"/>
          <w:szCs w:val="24"/>
        </w:rPr>
        <w:t xml:space="preserve">hildren </w:t>
      </w:r>
      <w:r w:rsidR="00B35C25">
        <w:rPr>
          <w:rFonts w:asciiTheme="majorHAnsi" w:hAnsiTheme="majorHAnsi" w:cs="Arial"/>
          <w:sz w:val="24"/>
          <w:szCs w:val="24"/>
        </w:rPr>
        <w:t xml:space="preserve">did not </w:t>
      </w:r>
      <w:r w:rsidR="00B35C25" w:rsidRPr="00B35C25">
        <w:rPr>
          <w:rFonts w:asciiTheme="majorHAnsi" w:hAnsiTheme="majorHAnsi" w:cs="Arial"/>
          <w:sz w:val="24"/>
          <w:szCs w:val="24"/>
        </w:rPr>
        <w:t>receive adequate services to meet their physical and mental health needs</w:t>
      </w:r>
      <w:r w:rsidR="00B35C25">
        <w:rPr>
          <w:rFonts w:asciiTheme="majorHAnsi" w:hAnsiTheme="majorHAnsi" w:cs="Arial"/>
          <w:sz w:val="24"/>
          <w:szCs w:val="24"/>
        </w:rPr>
        <w:t xml:space="preserve"> (Well-Being Outcome 3) in one-quarter of all cases reviewed (25 percent). </w:t>
      </w:r>
    </w:p>
    <w:p w14:paraId="570A660E" w14:textId="77777777" w:rsidR="00822FF7" w:rsidRDefault="00822FF7" w:rsidP="00822FF7">
      <w:pPr>
        <w:spacing w:after="0" w:line="240" w:lineRule="auto"/>
        <w:jc w:val="both"/>
        <w:rPr>
          <w:rFonts w:ascii="Cambria" w:hAnsi="Cambria" w:cs="Arial"/>
          <w:sz w:val="24"/>
          <w:szCs w:val="24"/>
        </w:rPr>
      </w:pPr>
    </w:p>
    <w:p w14:paraId="453456AC" w14:textId="77777777" w:rsidR="00531197" w:rsidRPr="0091509A" w:rsidRDefault="00531197" w:rsidP="00531197">
      <w:pPr>
        <w:spacing w:after="0" w:line="240" w:lineRule="auto"/>
        <w:jc w:val="both"/>
        <w:rPr>
          <w:rFonts w:ascii="Cambria" w:hAnsi="Cambria"/>
        </w:rPr>
      </w:pPr>
    </w:p>
    <w:tbl>
      <w:tblPr>
        <w:tblW w:w="10950" w:type="dxa"/>
        <w:jc w:val="center"/>
        <w:tblLook w:val="04A0" w:firstRow="1" w:lastRow="0" w:firstColumn="1" w:lastColumn="0" w:noHBand="0" w:noVBand="1"/>
      </w:tblPr>
      <w:tblGrid>
        <w:gridCol w:w="8035"/>
        <w:gridCol w:w="1025"/>
        <w:gridCol w:w="975"/>
        <w:gridCol w:w="915"/>
      </w:tblGrid>
      <w:tr w:rsidR="00822FF7" w14:paraId="38C7F40A" w14:textId="77777777" w:rsidTr="00822FF7">
        <w:trPr>
          <w:trHeight w:val="315"/>
          <w:jc w:val="center"/>
        </w:trPr>
        <w:tc>
          <w:tcPr>
            <w:tcW w:w="10950" w:type="dxa"/>
            <w:gridSpan w:val="4"/>
            <w:tcBorders>
              <w:top w:val="single" w:sz="8" w:space="0" w:color="auto"/>
              <w:left w:val="single" w:sz="8" w:space="0" w:color="auto"/>
              <w:bottom w:val="nil"/>
              <w:right w:val="single" w:sz="8" w:space="0" w:color="000000"/>
            </w:tcBorders>
            <w:shd w:val="clear" w:color="auto" w:fill="215967"/>
            <w:noWrap/>
            <w:vAlign w:val="center"/>
            <w:hideMark/>
          </w:tcPr>
          <w:p w14:paraId="0130660F" w14:textId="77777777" w:rsidR="00822FF7" w:rsidRDefault="00822FF7">
            <w:pPr>
              <w:spacing w:after="0" w:line="240" w:lineRule="auto"/>
              <w:jc w:val="center"/>
              <w:rPr>
                <w:rFonts w:ascii="Cambria" w:eastAsia="Times New Roman" w:hAnsi="Cambria" w:cs="Arial"/>
                <w:b/>
                <w:bCs/>
                <w:color w:val="FFFFFF"/>
                <w:sz w:val="24"/>
                <w:szCs w:val="24"/>
              </w:rPr>
            </w:pPr>
            <w:r>
              <w:rPr>
                <w:rFonts w:ascii="Cambria" w:eastAsia="Times New Roman" w:hAnsi="Cambria" w:cs="Arial"/>
                <w:b/>
                <w:bCs/>
                <w:color w:val="FFFFFF"/>
                <w:sz w:val="24"/>
                <w:szCs w:val="24"/>
              </w:rPr>
              <w:t>Table 3: Well-Being Outcomes 1, 2 and 3</w:t>
            </w:r>
          </w:p>
        </w:tc>
      </w:tr>
      <w:tr w:rsidR="00822FF7" w14:paraId="712FD787" w14:textId="77777777" w:rsidTr="002C2237">
        <w:trPr>
          <w:trHeight w:val="315"/>
          <w:jc w:val="center"/>
        </w:trPr>
        <w:tc>
          <w:tcPr>
            <w:tcW w:w="8035" w:type="dxa"/>
            <w:tcBorders>
              <w:top w:val="single" w:sz="4" w:space="0" w:color="FFFFFF"/>
              <w:left w:val="single" w:sz="8" w:space="0" w:color="auto"/>
              <w:bottom w:val="single" w:sz="4" w:space="0" w:color="FFFFFF"/>
              <w:right w:val="single" w:sz="4" w:space="0" w:color="FFFFFF"/>
            </w:tcBorders>
            <w:shd w:val="clear" w:color="auto" w:fill="215967"/>
            <w:noWrap/>
            <w:vAlign w:val="center"/>
            <w:hideMark/>
          </w:tcPr>
          <w:p w14:paraId="69E9EC03" w14:textId="77777777" w:rsidR="00822FF7" w:rsidRDefault="00822FF7">
            <w:pPr>
              <w:spacing w:after="0" w:line="240" w:lineRule="auto"/>
              <w:jc w:val="center"/>
              <w:rPr>
                <w:rFonts w:ascii="Cambria" w:eastAsia="Times New Roman" w:hAnsi="Cambria" w:cs="Arial"/>
                <w:i/>
                <w:iCs/>
                <w:color w:val="FFFFFF"/>
                <w:sz w:val="24"/>
                <w:szCs w:val="24"/>
              </w:rPr>
            </w:pPr>
            <w:r>
              <w:rPr>
                <w:rFonts w:ascii="Cambria" w:eastAsia="Times New Roman" w:hAnsi="Cambria" w:cs="Arial"/>
                <w:i/>
                <w:iCs/>
                <w:color w:val="FFFFFF"/>
                <w:sz w:val="24"/>
                <w:szCs w:val="24"/>
              </w:rPr>
              <w:t> </w:t>
            </w:r>
          </w:p>
        </w:tc>
        <w:tc>
          <w:tcPr>
            <w:tcW w:w="1025" w:type="dxa"/>
            <w:tcBorders>
              <w:top w:val="single" w:sz="4" w:space="0" w:color="FFFFFF"/>
              <w:left w:val="nil"/>
              <w:bottom w:val="single" w:sz="4" w:space="0" w:color="FFFFFF"/>
              <w:right w:val="single" w:sz="8" w:space="0" w:color="auto"/>
            </w:tcBorders>
            <w:shd w:val="clear" w:color="auto" w:fill="215967"/>
            <w:vAlign w:val="center"/>
            <w:hideMark/>
          </w:tcPr>
          <w:p w14:paraId="4E10263A" w14:textId="1AC12FE9" w:rsidR="00822FF7" w:rsidRDefault="002C2237">
            <w:pPr>
              <w:spacing w:after="0" w:line="240" w:lineRule="auto"/>
              <w:jc w:val="center"/>
              <w:rPr>
                <w:rFonts w:ascii="Cambria" w:eastAsia="Times New Roman" w:hAnsi="Cambria" w:cs="Arial"/>
                <w:b/>
                <w:bCs/>
                <w:i/>
                <w:iCs/>
                <w:color w:val="FFFFFF"/>
                <w:sz w:val="24"/>
                <w:szCs w:val="24"/>
              </w:rPr>
            </w:pPr>
            <w:r>
              <w:rPr>
                <w:rFonts w:ascii="Cambria" w:eastAsia="Times New Roman" w:hAnsi="Cambria" w:cs="Arial"/>
                <w:b/>
                <w:bCs/>
                <w:i/>
                <w:iCs/>
                <w:color w:val="FFFFFF"/>
                <w:sz w:val="24"/>
                <w:szCs w:val="24"/>
              </w:rPr>
              <w:t>SFY 201</w:t>
            </w:r>
            <w:r w:rsidR="00741AD2">
              <w:rPr>
                <w:rFonts w:ascii="Cambria" w:eastAsia="Times New Roman" w:hAnsi="Cambria" w:cs="Arial"/>
                <w:b/>
                <w:bCs/>
                <w:i/>
                <w:iCs/>
                <w:color w:val="FFFFFF"/>
                <w:sz w:val="24"/>
                <w:szCs w:val="24"/>
              </w:rPr>
              <w:t>9 QSPR</w:t>
            </w:r>
          </w:p>
        </w:tc>
        <w:tc>
          <w:tcPr>
            <w:tcW w:w="975" w:type="dxa"/>
            <w:tcBorders>
              <w:top w:val="single" w:sz="4" w:space="0" w:color="FFFFFF"/>
              <w:left w:val="nil"/>
              <w:bottom w:val="single" w:sz="4" w:space="0" w:color="FFFFFF"/>
              <w:right w:val="single" w:sz="8" w:space="0" w:color="auto"/>
            </w:tcBorders>
            <w:shd w:val="clear" w:color="auto" w:fill="215967"/>
            <w:vAlign w:val="center"/>
            <w:hideMark/>
          </w:tcPr>
          <w:p w14:paraId="5C975191" w14:textId="0EFC3251" w:rsidR="00822FF7" w:rsidRDefault="002C2237">
            <w:pPr>
              <w:spacing w:after="0" w:line="240" w:lineRule="auto"/>
              <w:jc w:val="center"/>
              <w:rPr>
                <w:rFonts w:ascii="Cambria" w:eastAsia="Times New Roman" w:hAnsi="Cambria" w:cs="Arial"/>
                <w:b/>
                <w:bCs/>
                <w:i/>
                <w:iCs/>
                <w:color w:val="FFFFFF"/>
                <w:sz w:val="24"/>
                <w:szCs w:val="24"/>
              </w:rPr>
            </w:pPr>
            <w:r>
              <w:rPr>
                <w:rFonts w:ascii="Cambria" w:eastAsia="Times New Roman" w:hAnsi="Cambria" w:cs="Arial"/>
                <w:b/>
                <w:bCs/>
                <w:i/>
                <w:iCs/>
                <w:color w:val="FFFFFF"/>
                <w:sz w:val="24"/>
                <w:szCs w:val="24"/>
              </w:rPr>
              <w:t>SFY 201</w:t>
            </w:r>
            <w:r w:rsidR="00E551AB">
              <w:rPr>
                <w:rFonts w:ascii="Cambria" w:eastAsia="Times New Roman" w:hAnsi="Cambria" w:cs="Arial"/>
                <w:b/>
                <w:bCs/>
                <w:i/>
                <w:iCs/>
                <w:color w:val="FFFFFF"/>
                <w:sz w:val="24"/>
                <w:szCs w:val="24"/>
              </w:rPr>
              <w:t>8</w:t>
            </w:r>
            <w:r w:rsidR="00741AD2">
              <w:rPr>
                <w:rFonts w:ascii="Cambria" w:eastAsia="Times New Roman" w:hAnsi="Cambria" w:cs="Arial"/>
                <w:b/>
                <w:bCs/>
                <w:i/>
                <w:iCs/>
                <w:color w:val="FFFFFF"/>
                <w:sz w:val="24"/>
                <w:szCs w:val="24"/>
              </w:rPr>
              <w:t xml:space="preserve"> QSPR</w:t>
            </w:r>
          </w:p>
        </w:tc>
        <w:tc>
          <w:tcPr>
            <w:tcW w:w="915" w:type="dxa"/>
            <w:tcBorders>
              <w:top w:val="single" w:sz="4" w:space="0" w:color="FFFFFF"/>
              <w:left w:val="nil"/>
              <w:bottom w:val="single" w:sz="4" w:space="0" w:color="FFFFFF"/>
              <w:right w:val="single" w:sz="8" w:space="0" w:color="auto"/>
            </w:tcBorders>
            <w:shd w:val="clear" w:color="auto" w:fill="215967"/>
            <w:vAlign w:val="center"/>
            <w:hideMark/>
          </w:tcPr>
          <w:p w14:paraId="342100FE" w14:textId="234A330F" w:rsidR="00822FF7" w:rsidRDefault="002C2237">
            <w:pPr>
              <w:spacing w:after="0" w:line="240" w:lineRule="auto"/>
              <w:jc w:val="center"/>
              <w:rPr>
                <w:rFonts w:ascii="Cambria" w:eastAsia="Times New Roman" w:hAnsi="Cambria" w:cs="Arial"/>
                <w:b/>
                <w:bCs/>
                <w:i/>
                <w:iCs/>
                <w:color w:val="FFFFFF"/>
                <w:sz w:val="24"/>
                <w:szCs w:val="24"/>
              </w:rPr>
            </w:pPr>
            <w:r>
              <w:rPr>
                <w:rFonts w:ascii="Cambria" w:eastAsia="Times New Roman" w:hAnsi="Cambria" w:cs="Arial"/>
                <w:b/>
                <w:bCs/>
                <w:i/>
                <w:iCs/>
                <w:color w:val="FFFFFF"/>
                <w:sz w:val="24"/>
                <w:szCs w:val="24"/>
              </w:rPr>
              <w:t>Round 3 CFSR</w:t>
            </w:r>
          </w:p>
        </w:tc>
      </w:tr>
      <w:tr w:rsidR="002C2237" w14:paraId="36E88D34" w14:textId="77777777" w:rsidTr="002C2237">
        <w:trPr>
          <w:trHeight w:val="630"/>
          <w:jc w:val="center"/>
        </w:trPr>
        <w:tc>
          <w:tcPr>
            <w:tcW w:w="8035" w:type="dxa"/>
            <w:tcBorders>
              <w:top w:val="nil"/>
              <w:left w:val="single" w:sz="8" w:space="0" w:color="auto"/>
              <w:bottom w:val="single" w:sz="4" w:space="0" w:color="auto"/>
              <w:right w:val="single" w:sz="4" w:space="0" w:color="FFFFFF"/>
            </w:tcBorders>
            <w:shd w:val="clear" w:color="auto" w:fill="215967"/>
            <w:vAlign w:val="center"/>
            <w:hideMark/>
          </w:tcPr>
          <w:p w14:paraId="536C4C47" w14:textId="3035D45F" w:rsidR="002C2237" w:rsidRDefault="002C2237">
            <w:pPr>
              <w:spacing w:after="0" w:line="240" w:lineRule="auto"/>
              <w:rPr>
                <w:rFonts w:ascii="Cambria" w:eastAsia="Times New Roman" w:hAnsi="Cambria" w:cs="Arial"/>
                <w:b/>
                <w:bCs/>
                <w:color w:val="FFFFFF"/>
                <w:sz w:val="24"/>
                <w:szCs w:val="24"/>
              </w:rPr>
            </w:pPr>
            <w:r>
              <w:rPr>
                <w:rFonts w:ascii="Cambria" w:eastAsia="Times New Roman" w:hAnsi="Cambria" w:cs="Arial"/>
                <w:b/>
                <w:bCs/>
                <w:color w:val="FFFFFF"/>
                <w:sz w:val="24"/>
                <w:szCs w:val="24"/>
              </w:rPr>
              <w:t xml:space="preserve">Well-Being 1: Families have enhanced capacity to provide for their children’s </w:t>
            </w:r>
            <w:r w:rsidR="00943102">
              <w:rPr>
                <w:rFonts w:ascii="Cambria" w:eastAsia="Times New Roman" w:hAnsi="Cambria" w:cs="Arial"/>
                <w:b/>
                <w:bCs/>
                <w:color w:val="FFFFFF"/>
                <w:sz w:val="24"/>
                <w:szCs w:val="24"/>
              </w:rPr>
              <w:t>needs (</w:t>
            </w:r>
            <w:r>
              <w:rPr>
                <w:rFonts w:ascii="Cambria" w:eastAsia="Times New Roman" w:hAnsi="Cambria" w:cs="Arial"/>
                <w:color w:val="FFFFFF"/>
                <w:sz w:val="20"/>
                <w:szCs w:val="20"/>
              </w:rPr>
              <w:t>N=200)</w:t>
            </w:r>
          </w:p>
        </w:tc>
        <w:tc>
          <w:tcPr>
            <w:tcW w:w="1025" w:type="dxa"/>
            <w:tcBorders>
              <w:top w:val="nil"/>
              <w:left w:val="nil"/>
              <w:bottom w:val="single" w:sz="4" w:space="0" w:color="auto"/>
              <w:right w:val="single" w:sz="8" w:space="0" w:color="auto"/>
            </w:tcBorders>
            <w:shd w:val="clear" w:color="auto" w:fill="215967"/>
            <w:noWrap/>
            <w:vAlign w:val="center"/>
            <w:hideMark/>
          </w:tcPr>
          <w:p w14:paraId="7CB731E8" w14:textId="100C6E8E" w:rsidR="002C2237" w:rsidRDefault="00E551AB">
            <w:pPr>
              <w:spacing w:after="0" w:line="240" w:lineRule="auto"/>
              <w:jc w:val="center"/>
              <w:rPr>
                <w:rFonts w:ascii="Cambria" w:eastAsia="Times New Roman" w:hAnsi="Cambria" w:cs="Arial"/>
                <w:b/>
                <w:bCs/>
                <w:color w:val="FFFFFF"/>
                <w:sz w:val="24"/>
                <w:szCs w:val="24"/>
              </w:rPr>
            </w:pPr>
            <w:r>
              <w:rPr>
                <w:rFonts w:ascii="Times New Roman" w:eastAsia="Times New Roman" w:hAnsi="Times New Roman"/>
                <w:b/>
                <w:bCs/>
                <w:color w:val="FFFFFF"/>
                <w:sz w:val="24"/>
                <w:szCs w:val="24"/>
              </w:rPr>
              <w:t>60</w:t>
            </w:r>
            <w:r w:rsidR="002C2237" w:rsidRPr="009C7B65">
              <w:rPr>
                <w:rFonts w:ascii="Times New Roman" w:eastAsia="Times New Roman" w:hAnsi="Times New Roman"/>
                <w:b/>
                <w:bCs/>
                <w:color w:val="FFFFFF"/>
                <w:sz w:val="24"/>
                <w:szCs w:val="24"/>
              </w:rPr>
              <w:t>%</w:t>
            </w:r>
          </w:p>
        </w:tc>
        <w:tc>
          <w:tcPr>
            <w:tcW w:w="975" w:type="dxa"/>
            <w:tcBorders>
              <w:top w:val="nil"/>
              <w:left w:val="nil"/>
              <w:bottom w:val="single" w:sz="4" w:space="0" w:color="auto"/>
              <w:right w:val="single" w:sz="8" w:space="0" w:color="auto"/>
            </w:tcBorders>
            <w:shd w:val="clear" w:color="auto" w:fill="215967"/>
            <w:vAlign w:val="center"/>
            <w:hideMark/>
          </w:tcPr>
          <w:p w14:paraId="1B0283A0" w14:textId="47F9EE84" w:rsidR="002C2237" w:rsidRDefault="00E551AB">
            <w:pPr>
              <w:spacing w:after="0" w:line="240" w:lineRule="auto"/>
              <w:jc w:val="center"/>
              <w:rPr>
                <w:rFonts w:ascii="Cambria" w:eastAsia="Times New Roman" w:hAnsi="Cambria" w:cs="Arial"/>
                <w:b/>
                <w:bCs/>
                <w:color w:val="FFFFFF"/>
                <w:sz w:val="24"/>
                <w:szCs w:val="24"/>
              </w:rPr>
            </w:pPr>
            <w:r>
              <w:rPr>
                <w:rFonts w:ascii="Times New Roman" w:eastAsia="Times New Roman" w:hAnsi="Times New Roman"/>
                <w:b/>
                <w:bCs/>
                <w:color w:val="FFFFFF"/>
                <w:sz w:val="24"/>
                <w:szCs w:val="24"/>
              </w:rPr>
              <w:t>51</w:t>
            </w:r>
            <w:r w:rsidR="002C2237" w:rsidRPr="009C7B65">
              <w:rPr>
                <w:rFonts w:ascii="Times New Roman" w:eastAsia="Times New Roman" w:hAnsi="Times New Roman"/>
                <w:b/>
                <w:bCs/>
                <w:color w:val="FFFFFF"/>
                <w:sz w:val="24"/>
                <w:szCs w:val="24"/>
              </w:rPr>
              <w:t>%</w:t>
            </w:r>
          </w:p>
        </w:tc>
        <w:tc>
          <w:tcPr>
            <w:tcW w:w="915" w:type="dxa"/>
            <w:tcBorders>
              <w:top w:val="nil"/>
              <w:left w:val="nil"/>
              <w:bottom w:val="single" w:sz="4" w:space="0" w:color="auto"/>
              <w:right w:val="single" w:sz="8" w:space="0" w:color="auto"/>
            </w:tcBorders>
            <w:shd w:val="clear" w:color="auto" w:fill="215967"/>
            <w:vAlign w:val="center"/>
            <w:hideMark/>
          </w:tcPr>
          <w:p w14:paraId="4A804BCB" w14:textId="0E89B04B" w:rsidR="002C2237" w:rsidRDefault="002C2237">
            <w:pPr>
              <w:spacing w:after="0" w:line="240" w:lineRule="auto"/>
              <w:jc w:val="center"/>
              <w:rPr>
                <w:rFonts w:ascii="Cambria" w:eastAsia="Times New Roman" w:hAnsi="Cambria" w:cs="Arial"/>
                <w:b/>
                <w:bCs/>
                <w:color w:val="FFFFFF"/>
                <w:sz w:val="24"/>
                <w:szCs w:val="24"/>
              </w:rPr>
            </w:pPr>
            <w:r w:rsidRPr="009C7B65">
              <w:rPr>
                <w:rFonts w:ascii="Times New Roman" w:eastAsia="Times New Roman" w:hAnsi="Times New Roman"/>
                <w:b/>
                <w:bCs/>
                <w:color w:val="FFFFFF"/>
                <w:sz w:val="24"/>
                <w:szCs w:val="24"/>
              </w:rPr>
              <w:t>39%</w:t>
            </w:r>
          </w:p>
        </w:tc>
      </w:tr>
      <w:tr w:rsidR="002C2237" w14:paraId="2DE3C9FC" w14:textId="77777777" w:rsidTr="002C2237">
        <w:trPr>
          <w:trHeight w:val="315"/>
          <w:jc w:val="center"/>
        </w:trPr>
        <w:tc>
          <w:tcPr>
            <w:tcW w:w="8035" w:type="dxa"/>
            <w:tcBorders>
              <w:top w:val="nil"/>
              <w:left w:val="single" w:sz="8" w:space="0" w:color="auto"/>
              <w:bottom w:val="single" w:sz="4" w:space="0" w:color="auto"/>
              <w:right w:val="single" w:sz="4" w:space="0" w:color="auto"/>
            </w:tcBorders>
            <w:noWrap/>
            <w:vAlign w:val="center"/>
            <w:hideMark/>
          </w:tcPr>
          <w:p w14:paraId="127DD14B" w14:textId="7DF5BF89" w:rsidR="002C2237" w:rsidRDefault="002C2237">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Item 12: Needs and Services of Child, Parents and Foster Parents</w:t>
            </w:r>
            <w:r w:rsidR="00CF2853">
              <w:rPr>
                <w:rFonts w:ascii="Cambria" w:eastAsia="Times New Roman" w:hAnsi="Cambria" w:cs="Arial"/>
                <w:color w:val="000000"/>
                <w:sz w:val="20"/>
                <w:szCs w:val="20"/>
              </w:rPr>
              <w:t xml:space="preserve"> (N=</w:t>
            </w:r>
            <w:r>
              <w:rPr>
                <w:rFonts w:ascii="Cambria" w:eastAsia="Times New Roman" w:hAnsi="Cambria" w:cs="Arial"/>
                <w:color w:val="000000"/>
                <w:sz w:val="20"/>
                <w:szCs w:val="20"/>
              </w:rPr>
              <w:t>200)</w:t>
            </w:r>
          </w:p>
        </w:tc>
        <w:tc>
          <w:tcPr>
            <w:tcW w:w="1025" w:type="dxa"/>
            <w:tcBorders>
              <w:top w:val="nil"/>
              <w:left w:val="nil"/>
              <w:bottom w:val="single" w:sz="4" w:space="0" w:color="auto"/>
              <w:right w:val="single" w:sz="8" w:space="0" w:color="auto"/>
            </w:tcBorders>
            <w:noWrap/>
            <w:vAlign w:val="center"/>
            <w:hideMark/>
          </w:tcPr>
          <w:p w14:paraId="7FD2F612" w14:textId="5A4008E1" w:rsidR="002C2237" w:rsidRPr="00810249" w:rsidRDefault="00E551AB">
            <w:pPr>
              <w:spacing w:after="0" w:line="240" w:lineRule="auto"/>
              <w:jc w:val="center"/>
              <w:rPr>
                <w:rFonts w:ascii="Cambria" w:eastAsia="Times New Roman" w:hAnsi="Cambria" w:cs="Arial"/>
                <w:color w:val="000000"/>
                <w:sz w:val="24"/>
                <w:szCs w:val="24"/>
              </w:rPr>
            </w:pPr>
            <w:r w:rsidRPr="00810249">
              <w:rPr>
                <w:rFonts w:ascii="Times New Roman" w:eastAsia="Times New Roman" w:hAnsi="Times New Roman"/>
                <w:color w:val="000000"/>
                <w:sz w:val="24"/>
                <w:szCs w:val="24"/>
              </w:rPr>
              <w:t>63</w:t>
            </w:r>
            <w:r w:rsidR="002C2237" w:rsidRPr="00810249">
              <w:rPr>
                <w:rFonts w:ascii="Times New Roman" w:eastAsia="Times New Roman" w:hAnsi="Times New Roman"/>
                <w:color w:val="000000"/>
                <w:sz w:val="24"/>
                <w:szCs w:val="24"/>
              </w:rPr>
              <w:t>%</w:t>
            </w:r>
          </w:p>
        </w:tc>
        <w:tc>
          <w:tcPr>
            <w:tcW w:w="975" w:type="dxa"/>
            <w:tcBorders>
              <w:top w:val="nil"/>
              <w:left w:val="nil"/>
              <w:bottom w:val="single" w:sz="4" w:space="0" w:color="auto"/>
              <w:right w:val="single" w:sz="8" w:space="0" w:color="auto"/>
            </w:tcBorders>
            <w:vAlign w:val="center"/>
            <w:hideMark/>
          </w:tcPr>
          <w:p w14:paraId="5B3709D9" w14:textId="0270CA06" w:rsidR="002C2237" w:rsidRDefault="00E551AB">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57</w:t>
            </w:r>
            <w:r w:rsidR="002C2237" w:rsidRPr="009C7B65">
              <w:rPr>
                <w:rFonts w:ascii="Times New Roman" w:eastAsia="Times New Roman" w:hAnsi="Times New Roman"/>
                <w:color w:val="000000"/>
                <w:sz w:val="24"/>
                <w:szCs w:val="24"/>
              </w:rPr>
              <w:t>%</w:t>
            </w:r>
          </w:p>
        </w:tc>
        <w:tc>
          <w:tcPr>
            <w:tcW w:w="915" w:type="dxa"/>
            <w:tcBorders>
              <w:top w:val="nil"/>
              <w:left w:val="nil"/>
              <w:bottom w:val="single" w:sz="4" w:space="0" w:color="auto"/>
              <w:right w:val="single" w:sz="8" w:space="0" w:color="auto"/>
            </w:tcBorders>
            <w:vAlign w:val="center"/>
            <w:hideMark/>
          </w:tcPr>
          <w:p w14:paraId="6981A6AA" w14:textId="619FC9B7" w:rsidR="002C2237" w:rsidRDefault="002C2237">
            <w:pPr>
              <w:spacing w:after="0" w:line="240" w:lineRule="auto"/>
              <w:jc w:val="center"/>
              <w:rPr>
                <w:rFonts w:ascii="Cambria" w:eastAsia="Times New Roman" w:hAnsi="Cambria" w:cs="Arial"/>
                <w:color w:val="000000"/>
                <w:sz w:val="24"/>
                <w:szCs w:val="24"/>
              </w:rPr>
            </w:pPr>
            <w:r w:rsidRPr="009C7B65">
              <w:rPr>
                <w:rFonts w:ascii="Times New Roman" w:eastAsia="Times New Roman" w:hAnsi="Times New Roman"/>
                <w:color w:val="000000"/>
                <w:sz w:val="24"/>
                <w:szCs w:val="24"/>
              </w:rPr>
              <w:t>43%</w:t>
            </w:r>
          </w:p>
        </w:tc>
      </w:tr>
      <w:tr w:rsidR="002C2237" w14:paraId="2211CA39" w14:textId="77777777" w:rsidTr="002C2237">
        <w:trPr>
          <w:trHeight w:val="315"/>
          <w:jc w:val="center"/>
        </w:trPr>
        <w:tc>
          <w:tcPr>
            <w:tcW w:w="8035" w:type="dxa"/>
            <w:tcBorders>
              <w:top w:val="nil"/>
              <w:left w:val="single" w:sz="8" w:space="0" w:color="auto"/>
              <w:bottom w:val="single" w:sz="4" w:space="0" w:color="auto"/>
              <w:right w:val="single" w:sz="4" w:space="0" w:color="auto"/>
            </w:tcBorders>
            <w:noWrap/>
            <w:vAlign w:val="center"/>
            <w:hideMark/>
          </w:tcPr>
          <w:p w14:paraId="16C8968D" w14:textId="74079D12" w:rsidR="002C2237" w:rsidRDefault="002C2237">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Item 13: Child and Family Involvement in Case </w:t>
            </w:r>
            <w:r w:rsidR="00943102">
              <w:rPr>
                <w:rFonts w:ascii="Cambria" w:eastAsia="Times New Roman" w:hAnsi="Cambria" w:cs="Arial"/>
                <w:color w:val="000000"/>
                <w:sz w:val="24"/>
                <w:szCs w:val="24"/>
              </w:rPr>
              <w:t>Planning</w:t>
            </w:r>
            <w:r w:rsidR="00943102">
              <w:rPr>
                <w:rFonts w:ascii="Cambria" w:eastAsia="Times New Roman" w:hAnsi="Cambria" w:cs="Arial"/>
                <w:color w:val="000000"/>
                <w:sz w:val="20"/>
                <w:szCs w:val="20"/>
              </w:rPr>
              <w:t xml:space="preserve"> (</w:t>
            </w:r>
            <w:r>
              <w:rPr>
                <w:rFonts w:ascii="Cambria" w:eastAsia="Times New Roman" w:hAnsi="Cambria" w:cs="Arial"/>
                <w:color w:val="000000"/>
                <w:sz w:val="20"/>
                <w:szCs w:val="20"/>
              </w:rPr>
              <w:t>N=186)</w:t>
            </w:r>
          </w:p>
        </w:tc>
        <w:tc>
          <w:tcPr>
            <w:tcW w:w="1025" w:type="dxa"/>
            <w:tcBorders>
              <w:top w:val="nil"/>
              <w:left w:val="nil"/>
              <w:bottom w:val="single" w:sz="4" w:space="0" w:color="auto"/>
              <w:right w:val="single" w:sz="8" w:space="0" w:color="auto"/>
            </w:tcBorders>
            <w:noWrap/>
            <w:vAlign w:val="center"/>
            <w:hideMark/>
          </w:tcPr>
          <w:p w14:paraId="28445612" w14:textId="3C02F237" w:rsidR="002C2237" w:rsidRPr="00810249" w:rsidRDefault="00E551AB">
            <w:pPr>
              <w:spacing w:after="0" w:line="240" w:lineRule="auto"/>
              <w:jc w:val="center"/>
              <w:rPr>
                <w:rFonts w:ascii="Cambria" w:eastAsia="Times New Roman" w:hAnsi="Cambria" w:cs="Arial"/>
                <w:color w:val="000000"/>
                <w:sz w:val="24"/>
                <w:szCs w:val="24"/>
              </w:rPr>
            </w:pPr>
            <w:r w:rsidRPr="00810249">
              <w:rPr>
                <w:rFonts w:ascii="Times New Roman" w:eastAsia="Times New Roman" w:hAnsi="Times New Roman"/>
                <w:color w:val="000000"/>
                <w:sz w:val="24"/>
                <w:szCs w:val="24"/>
              </w:rPr>
              <w:t>76</w:t>
            </w:r>
            <w:r w:rsidR="002C2237" w:rsidRPr="00810249">
              <w:rPr>
                <w:rFonts w:ascii="Times New Roman" w:eastAsia="Times New Roman" w:hAnsi="Times New Roman"/>
                <w:color w:val="000000"/>
                <w:sz w:val="24"/>
                <w:szCs w:val="24"/>
              </w:rPr>
              <w:t>%</w:t>
            </w:r>
          </w:p>
        </w:tc>
        <w:tc>
          <w:tcPr>
            <w:tcW w:w="975" w:type="dxa"/>
            <w:tcBorders>
              <w:top w:val="nil"/>
              <w:left w:val="nil"/>
              <w:bottom w:val="single" w:sz="4" w:space="0" w:color="auto"/>
              <w:right w:val="single" w:sz="8" w:space="0" w:color="auto"/>
            </w:tcBorders>
            <w:vAlign w:val="center"/>
            <w:hideMark/>
          </w:tcPr>
          <w:p w14:paraId="60A6C8E1" w14:textId="5812FE00" w:rsidR="002C2237" w:rsidRDefault="00E551AB">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69</w:t>
            </w:r>
            <w:r w:rsidR="002C2237" w:rsidRPr="009C7B65">
              <w:rPr>
                <w:rFonts w:ascii="Times New Roman" w:eastAsia="Times New Roman" w:hAnsi="Times New Roman"/>
                <w:color w:val="000000"/>
                <w:sz w:val="24"/>
                <w:szCs w:val="24"/>
              </w:rPr>
              <w:t>%</w:t>
            </w:r>
          </w:p>
        </w:tc>
        <w:tc>
          <w:tcPr>
            <w:tcW w:w="915" w:type="dxa"/>
            <w:tcBorders>
              <w:top w:val="nil"/>
              <w:left w:val="nil"/>
              <w:bottom w:val="single" w:sz="4" w:space="0" w:color="auto"/>
              <w:right w:val="single" w:sz="8" w:space="0" w:color="auto"/>
            </w:tcBorders>
            <w:vAlign w:val="center"/>
            <w:hideMark/>
          </w:tcPr>
          <w:p w14:paraId="79753F7E" w14:textId="0817F90B" w:rsidR="002C2237" w:rsidRDefault="002C2237">
            <w:pPr>
              <w:spacing w:after="0" w:line="240" w:lineRule="auto"/>
              <w:jc w:val="center"/>
              <w:rPr>
                <w:rFonts w:ascii="Cambria" w:eastAsia="Times New Roman" w:hAnsi="Cambria" w:cs="Arial"/>
                <w:color w:val="000000"/>
                <w:sz w:val="24"/>
                <w:szCs w:val="24"/>
              </w:rPr>
            </w:pPr>
            <w:r w:rsidRPr="009C7B65">
              <w:rPr>
                <w:rFonts w:ascii="Times New Roman" w:eastAsia="Times New Roman" w:hAnsi="Times New Roman"/>
                <w:color w:val="000000"/>
                <w:sz w:val="24"/>
                <w:szCs w:val="24"/>
              </w:rPr>
              <w:t>51%</w:t>
            </w:r>
          </w:p>
        </w:tc>
      </w:tr>
      <w:tr w:rsidR="002C2237" w14:paraId="22FA0B46" w14:textId="77777777" w:rsidTr="002C2237">
        <w:trPr>
          <w:trHeight w:val="315"/>
          <w:jc w:val="center"/>
        </w:trPr>
        <w:tc>
          <w:tcPr>
            <w:tcW w:w="8035" w:type="dxa"/>
            <w:tcBorders>
              <w:top w:val="nil"/>
              <w:left w:val="single" w:sz="8" w:space="0" w:color="auto"/>
              <w:bottom w:val="single" w:sz="4" w:space="0" w:color="auto"/>
              <w:right w:val="single" w:sz="4" w:space="0" w:color="auto"/>
            </w:tcBorders>
            <w:noWrap/>
            <w:vAlign w:val="center"/>
            <w:hideMark/>
          </w:tcPr>
          <w:p w14:paraId="1F87B384" w14:textId="6DC8085A" w:rsidR="002C2237" w:rsidRDefault="002C2237">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Item 14: Caseworker Visits with </w:t>
            </w:r>
            <w:r w:rsidR="00943102">
              <w:rPr>
                <w:rFonts w:ascii="Cambria" w:eastAsia="Times New Roman" w:hAnsi="Cambria" w:cs="Arial"/>
                <w:color w:val="000000"/>
                <w:sz w:val="24"/>
                <w:szCs w:val="24"/>
              </w:rPr>
              <w:t>Child</w:t>
            </w:r>
            <w:r w:rsidR="00943102">
              <w:rPr>
                <w:rFonts w:ascii="Cambria" w:eastAsia="Times New Roman" w:hAnsi="Cambria" w:cs="Arial"/>
                <w:color w:val="000000"/>
                <w:sz w:val="20"/>
                <w:szCs w:val="20"/>
              </w:rPr>
              <w:t xml:space="preserve"> (</w:t>
            </w:r>
            <w:r>
              <w:rPr>
                <w:rFonts w:ascii="Cambria" w:eastAsia="Times New Roman" w:hAnsi="Cambria" w:cs="Arial"/>
                <w:color w:val="000000"/>
                <w:sz w:val="20"/>
                <w:szCs w:val="20"/>
              </w:rPr>
              <w:t>N=200)</w:t>
            </w:r>
          </w:p>
        </w:tc>
        <w:tc>
          <w:tcPr>
            <w:tcW w:w="1025" w:type="dxa"/>
            <w:tcBorders>
              <w:top w:val="nil"/>
              <w:left w:val="nil"/>
              <w:bottom w:val="single" w:sz="4" w:space="0" w:color="auto"/>
              <w:right w:val="single" w:sz="8" w:space="0" w:color="auto"/>
            </w:tcBorders>
            <w:noWrap/>
            <w:vAlign w:val="center"/>
            <w:hideMark/>
          </w:tcPr>
          <w:p w14:paraId="33FE9B62" w14:textId="6BA7248F" w:rsidR="002C2237" w:rsidRPr="00810249" w:rsidRDefault="00E551AB">
            <w:pPr>
              <w:spacing w:after="0" w:line="240" w:lineRule="auto"/>
              <w:jc w:val="center"/>
              <w:rPr>
                <w:rFonts w:ascii="Cambria" w:eastAsia="Times New Roman" w:hAnsi="Cambria" w:cs="Arial"/>
                <w:color w:val="000000"/>
                <w:sz w:val="24"/>
                <w:szCs w:val="24"/>
              </w:rPr>
            </w:pPr>
            <w:r w:rsidRPr="00810249">
              <w:rPr>
                <w:rFonts w:ascii="Times New Roman" w:eastAsia="Times New Roman" w:hAnsi="Times New Roman"/>
                <w:color w:val="000000"/>
                <w:sz w:val="24"/>
                <w:szCs w:val="24"/>
              </w:rPr>
              <w:t>84</w:t>
            </w:r>
            <w:r w:rsidR="002C2237" w:rsidRPr="00810249">
              <w:rPr>
                <w:rFonts w:ascii="Times New Roman" w:eastAsia="Times New Roman" w:hAnsi="Times New Roman"/>
                <w:color w:val="000000"/>
                <w:sz w:val="24"/>
                <w:szCs w:val="24"/>
              </w:rPr>
              <w:t>%</w:t>
            </w:r>
          </w:p>
        </w:tc>
        <w:tc>
          <w:tcPr>
            <w:tcW w:w="975" w:type="dxa"/>
            <w:tcBorders>
              <w:top w:val="nil"/>
              <w:left w:val="nil"/>
              <w:bottom w:val="single" w:sz="4" w:space="0" w:color="auto"/>
              <w:right w:val="single" w:sz="8" w:space="0" w:color="auto"/>
            </w:tcBorders>
            <w:vAlign w:val="center"/>
            <w:hideMark/>
          </w:tcPr>
          <w:p w14:paraId="499BBC91" w14:textId="063264A2" w:rsidR="002C2237" w:rsidRDefault="002C2237">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6</w:t>
            </w:r>
            <w:r w:rsidR="00E551AB">
              <w:rPr>
                <w:rFonts w:ascii="Times New Roman" w:eastAsia="Times New Roman" w:hAnsi="Times New Roman"/>
                <w:color w:val="000000"/>
                <w:sz w:val="24"/>
                <w:szCs w:val="24"/>
              </w:rPr>
              <w:t>7</w:t>
            </w:r>
            <w:r w:rsidRPr="009C7B65">
              <w:rPr>
                <w:rFonts w:ascii="Times New Roman" w:eastAsia="Times New Roman" w:hAnsi="Times New Roman"/>
                <w:color w:val="000000"/>
                <w:sz w:val="24"/>
                <w:szCs w:val="24"/>
              </w:rPr>
              <w:t>%</w:t>
            </w:r>
          </w:p>
        </w:tc>
        <w:tc>
          <w:tcPr>
            <w:tcW w:w="915" w:type="dxa"/>
            <w:tcBorders>
              <w:top w:val="nil"/>
              <w:left w:val="nil"/>
              <w:bottom w:val="single" w:sz="4" w:space="0" w:color="auto"/>
              <w:right w:val="single" w:sz="8" w:space="0" w:color="auto"/>
            </w:tcBorders>
            <w:vAlign w:val="center"/>
            <w:hideMark/>
          </w:tcPr>
          <w:p w14:paraId="769DE8D4" w14:textId="6416366E" w:rsidR="002C2237" w:rsidRDefault="002C2237">
            <w:pPr>
              <w:spacing w:after="0" w:line="240" w:lineRule="auto"/>
              <w:jc w:val="center"/>
              <w:rPr>
                <w:rFonts w:ascii="Cambria" w:eastAsia="Times New Roman" w:hAnsi="Cambria" w:cs="Arial"/>
                <w:color w:val="000000"/>
                <w:sz w:val="24"/>
                <w:szCs w:val="24"/>
              </w:rPr>
            </w:pPr>
            <w:r w:rsidRPr="009C7B65">
              <w:rPr>
                <w:rFonts w:ascii="Times New Roman" w:eastAsia="Times New Roman" w:hAnsi="Times New Roman"/>
                <w:color w:val="000000"/>
                <w:sz w:val="24"/>
                <w:szCs w:val="24"/>
              </w:rPr>
              <w:t>64%</w:t>
            </w:r>
          </w:p>
        </w:tc>
      </w:tr>
      <w:tr w:rsidR="002C2237" w14:paraId="40DD5DCD" w14:textId="77777777" w:rsidTr="002C2237">
        <w:trPr>
          <w:trHeight w:val="315"/>
          <w:jc w:val="center"/>
        </w:trPr>
        <w:tc>
          <w:tcPr>
            <w:tcW w:w="8035" w:type="dxa"/>
            <w:tcBorders>
              <w:top w:val="nil"/>
              <w:left w:val="single" w:sz="8" w:space="0" w:color="auto"/>
              <w:bottom w:val="single" w:sz="4" w:space="0" w:color="auto"/>
              <w:right w:val="single" w:sz="4" w:space="0" w:color="auto"/>
            </w:tcBorders>
            <w:noWrap/>
            <w:vAlign w:val="center"/>
            <w:hideMark/>
          </w:tcPr>
          <w:p w14:paraId="6D8F3273" w14:textId="5AF2C97B" w:rsidR="002C2237" w:rsidRDefault="002C2237">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Item 15: Caseworker Visits with </w:t>
            </w:r>
            <w:r w:rsidR="00943102">
              <w:rPr>
                <w:rFonts w:ascii="Cambria" w:eastAsia="Times New Roman" w:hAnsi="Cambria" w:cs="Arial"/>
                <w:color w:val="000000"/>
                <w:sz w:val="24"/>
                <w:szCs w:val="24"/>
              </w:rPr>
              <w:t>Parents</w:t>
            </w:r>
            <w:r w:rsidR="00943102">
              <w:rPr>
                <w:rFonts w:ascii="Cambria" w:eastAsia="Times New Roman" w:hAnsi="Cambria" w:cs="Arial"/>
                <w:color w:val="000000"/>
                <w:sz w:val="20"/>
                <w:szCs w:val="20"/>
              </w:rPr>
              <w:t xml:space="preserve"> (</w:t>
            </w:r>
            <w:r>
              <w:rPr>
                <w:rFonts w:ascii="Cambria" w:eastAsia="Times New Roman" w:hAnsi="Cambria" w:cs="Arial"/>
                <w:color w:val="000000"/>
                <w:sz w:val="20"/>
                <w:szCs w:val="20"/>
              </w:rPr>
              <w:t>N=171)</w:t>
            </w:r>
          </w:p>
        </w:tc>
        <w:tc>
          <w:tcPr>
            <w:tcW w:w="1025" w:type="dxa"/>
            <w:tcBorders>
              <w:top w:val="nil"/>
              <w:left w:val="nil"/>
              <w:bottom w:val="single" w:sz="4" w:space="0" w:color="auto"/>
              <w:right w:val="single" w:sz="8" w:space="0" w:color="auto"/>
            </w:tcBorders>
            <w:noWrap/>
            <w:vAlign w:val="center"/>
            <w:hideMark/>
          </w:tcPr>
          <w:p w14:paraId="298F648F" w14:textId="564B56DE" w:rsidR="002C2237" w:rsidRPr="00810249" w:rsidRDefault="002C2237">
            <w:pPr>
              <w:spacing w:after="0" w:line="240" w:lineRule="auto"/>
              <w:jc w:val="center"/>
              <w:rPr>
                <w:rFonts w:ascii="Cambria" w:eastAsia="Times New Roman" w:hAnsi="Cambria" w:cs="Arial"/>
                <w:color w:val="000000"/>
                <w:sz w:val="24"/>
                <w:szCs w:val="24"/>
              </w:rPr>
            </w:pPr>
            <w:r w:rsidRPr="00810249">
              <w:rPr>
                <w:rFonts w:ascii="Times New Roman" w:eastAsia="Times New Roman" w:hAnsi="Times New Roman"/>
                <w:color w:val="000000"/>
                <w:sz w:val="24"/>
                <w:szCs w:val="24"/>
              </w:rPr>
              <w:t>5</w:t>
            </w:r>
            <w:r w:rsidR="00E551AB" w:rsidRPr="00810249">
              <w:rPr>
                <w:rFonts w:ascii="Times New Roman" w:eastAsia="Times New Roman" w:hAnsi="Times New Roman"/>
                <w:color w:val="000000"/>
                <w:sz w:val="24"/>
                <w:szCs w:val="24"/>
              </w:rPr>
              <w:t>9</w:t>
            </w:r>
            <w:r w:rsidRPr="00810249">
              <w:rPr>
                <w:rFonts w:ascii="Times New Roman" w:eastAsia="Times New Roman" w:hAnsi="Times New Roman"/>
                <w:color w:val="000000"/>
                <w:sz w:val="24"/>
                <w:szCs w:val="24"/>
              </w:rPr>
              <w:t>%</w:t>
            </w:r>
          </w:p>
        </w:tc>
        <w:tc>
          <w:tcPr>
            <w:tcW w:w="975" w:type="dxa"/>
            <w:tcBorders>
              <w:top w:val="nil"/>
              <w:left w:val="nil"/>
              <w:bottom w:val="single" w:sz="4" w:space="0" w:color="auto"/>
              <w:right w:val="single" w:sz="8" w:space="0" w:color="auto"/>
            </w:tcBorders>
            <w:vAlign w:val="center"/>
            <w:hideMark/>
          </w:tcPr>
          <w:p w14:paraId="7D11824F" w14:textId="23506F72" w:rsidR="002C2237" w:rsidRDefault="002C2237">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5</w:t>
            </w:r>
            <w:r w:rsidR="00E551AB">
              <w:rPr>
                <w:rFonts w:ascii="Times New Roman" w:eastAsia="Times New Roman" w:hAnsi="Times New Roman"/>
                <w:color w:val="000000"/>
                <w:sz w:val="24"/>
                <w:szCs w:val="24"/>
              </w:rPr>
              <w:t>8</w:t>
            </w:r>
            <w:r w:rsidRPr="009C7B65">
              <w:rPr>
                <w:rFonts w:ascii="Times New Roman" w:eastAsia="Times New Roman" w:hAnsi="Times New Roman"/>
                <w:color w:val="000000"/>
                <w:sz w:val="24"/>
                <w:szCs w:val="24"/>
              </w:rPr>
              <w:t>%</w:t>
            </w:r>
          </w:p>
        </w:tc>
        <w:tc>
          <w:tcPr>
            <w:tcW w:w="915" w:type="dxa"/>
            <w:tcBorders>
              <w:top w:val="nil"/>
              <w:left w:val="nil"/>
              <w:bottom w:val="single" w:sz="4" w:space="0" w:color="auto"/>
              <w:right w:val="single" w:sz="8" w:space="0" w:color="auto"/>
            </w:tcBorders>
            <w:vAlign w:val="center"/>
            <w:hideMark/>
          </w:tcPr>
          <w:p w14:paraId="23C11207" w14:textId="1854C7E4" w:rsidR="002C2237" w:rsidRDefault="002C2237">
            <w:pPr>
              <w:spacing w:after="0" w:line="240" w:lineRule="auto"/>
              <w:jc w:val="center"/>
              <w:rPr>
                <w:rFonts w:ascii="Cambria" w:eastAsia="Times New Roman" w:hAnsi="Cambria" w:cs="Arial"/>
                <w:color w:val="000000"/>
                <w:sz w:val="24"/>
                <w:szCs w:val="24"/>
              </w:rPr>
            </w:pPr>
            <w:r w:rsidRPr="009C7B65">
              <w:rPr>
                <w:rFonts w:ascii="Times New Roman" w:eastAsia="Times New Roman" w:hAnsi="Times New Roman"/>
                <w:color w:val="000000"/>
                <w:sz w:val="24"/>
                <w:szCs w:val="24"/>
              </w:rPr>
              <w:t>48%</w:t>
            </w:r>
          </w:p>
        </w:tc>
      </w:tr>
      <w:tr w:rsidR="002C2237" w14:paraId="2A7026EF" w14:textId="77777777" w:rsidTr="002C2237">
        <w:trPr>
          <w:trHeight w:val="630"/>
          <w:jc w:val="center"/>
        </w:trPr>
        <w:tc>
          <w:tcPr>
            <w:tcW w:w="8035" w:type="dxa"/>
            <w:tcBorders>
              <w:top w:val="nil"/>
              <w:left w:val="single" w:sz="8" w:space="0" w:color="auto"/>
              <w:bottom w:val="single" w:sz="4" w:space="0" w:color="auto"/>
              <w:right w:val="single" w:sz="4" w:space="0" w:color="FFFFFF"/>
            </w:tcBorders>
            <w:shd w:val="clear" w:color="auto" w:fill="215967"/>
            <w:vAlign w:val="center"/>
            <w:hideMark/>
          </w:tcPr>
          <w:p w14:paraId="0764515A" w14:textId="3AF197E8" w:rsidR="002C2237" w:rsidRDefault="002C2237">
            <w:pPr>
              <w:spacing w:after="0" w:line="240" w:lineRule="auto"/>
              <w:rPr>
                <w:rFonts w:ascii="Cambria" w:eastAsia="Times New Roman" w:hAnsi="Cambria" w:cs="Arial"/>
                <w:b/>
                <w:bCs/>
                <w:color w:val="FFFFFF"/>
                <w:sz w:val="24"/>
                <w:szCs w:val="24"/>
              </w:rPr>
            </w:pPr>
            <w:r>
              <w:rPr>
                <w:rFonts w:ascii="Cambria" w:eastAsia="Times New Roman" w:hAnsi="Cambria" w:cs="Arial"/>
                <w:b/>
                <w:bCs/>
                <w:color w:val="FFFFFF"/>
                <w:sz w:val="24"/>
                <w:szCs w:val="24"/>
              </w:rPr>
              <w:t xml:space="preserve">Well-Being 2: Children receive appropriate services to meet their educational </w:t>
            </w:r>
            <w:r w:rsidR="00943102">
              <w:rPr>
                <w:rFonts w:ascii="Cambria" w:eastAsia="Times New Roman" w:hAnsi="Cambria" w:cs="Arial"/>
                <w:b/>
                <w:bCs/>
                <w:color w:val="FFFFFF"/>
                <w:sz w:val="24"/>
                <w:szCs w:val="24"/>
              </w:rPr>
              <w:t>needs (</w:t>
            </w:r>
            <w:r>
              <w:rPr>
                <w:rFonts w:ascii="Cambria" w:eastAsia="Times New Roman" w:hAnsi="Cambria" w:cs="Arial"/>
                <w:color w:val="FFFFFF"/>
                <w:sz w:val="20"/>
                <w:szCs w:val="20"/>
              </w:rPr>
              <w:t>N=107)</w:t>
            </w:r>
          </w:p>
        </w:tc>
        <w:tc>
          <w:tcPr>
            <w:tcW w:w="1025" w:type="dxa"/>
            <w:tcBorders>
              <w:top w:val="nil"/>
              <w:left w:val="nil"/>
              <w:bottom w:val="single" w:sz="4" w:space="0" w:color="auto"/>
              <w:right w:val="single" w:sz="8" w:space="0" w:color="auto"/>
            </w:tcBorders>
            <w:shd w:val="clear" w:color="auto" w:fill="215967"/>
            <w:noWrap/>
            <w:vAlign w:val="center"/>
            <w:hideMark/>
          </w:tcPr>
          <w:p w14:paraId="2E918EF0" w14:textId="779393FC" w:rsidR="002C2237" w:rsidRDefault="002C2237">
            <w:pPr>
              <w:spacing w:after="0" w:line="240" w:lineRule="auto"/>
              <w:jc w:val="center"/>
              <w:rPr>
                <w:rFonts w:ascii="Cambria" w:eastAsia="Times New Roman" w:hAnsi="Cambria" w:cs="Arial"/>
                <w:b/>
                <w:bCs/>
                <w:color w:val="FFFFFF"/>
                <w:sz w:val="24"/>
                <w:szCs w:val="24"/>
              </w:rPr>
            </w:pPr>
            <w:r>
              <w:rPr>
                <w:rFonts w:ascii="Times New Roman" w:eastAsia="Times New Roman" w:hAnsi="Times New Roman"/>
                <w:b/>
                <w:bCs/>
                <w:color w:val="FFFFFF"/>
                <w:sz w:val="24"/>
                <w:szCs w:val="24"/>
              </w:rPr>
              <w:t>93</w:t>
            </w:r>
            <w:r w:rsidRPr="009C7B65">
              <w:rPr>
                <w:rFonts w:ascii="Times New Roman" w:eastAsia="Times New Roman" w:hAnsi="Times New Roman"/>
                <w:b/>
                <w:bCs/>
                <w:color w:val="FFFFFF"/>
                <w:sz w:val="24"/>
                <w:szCs w:val="24"/>
              </w:rPr>
              <w:t>%</w:t>
            </w:r>
          </w:p>
        </w:tc>
        <w:tc>
          <w:tcPr>
            <w:tcW w:w="975" w:type="dxa"/>
            <w:tcBorders>
              <w:top w:val="nil"/>
              <w:left w:val="nil"/>
              <w:bottom w:val="single" w:sz="4" w:space="0" w:color="auto"/>
              <w:right w:val="single" w:sz="8" w:space="0" w:color="auto"/>
            </w:tcBorders>
            <w:shd w:val="clear" w:color="auto" w:fill="215967"/>
            <w:vAlign w:val="center"/>
            <w:hideMark/>
          </w:tcPr>
          <w:p w14:paraId="21254B3B" w14:textId="5FD0385C" w:rsidR="002C2237" w:rsidRDefault="00E551AB">
            <w:pPr>
              <w:spacing w:after="0" w:line="240" w:lineRule="auto"/>
              <w:jc w:val="center"/>
              <w:rPr>
                <w:rFonts w:ascii="Cambria" w:eastAsia="Times New Roman" w:hAnsi="Cambria" w:cs="Arial"/>
                <w:b/>
                <w:bCs/>
                <w:color w:val="FFFFFF"/>
                <w:sz w:val="24"/>
                <w:szCs w:val="24"/>
              </w:rPr>
            </w:pPr>
            <w:r>
              <w:rPr>
                <w:rFonts w:ascii="Times New Roman" w:eastAsia="Times New Roman" w:hAnsi="Times New Roman"/>
                <w:b/>
                <w:bCs/>
                <w:color w:val="FFFFFF"/>
                <w:sz w:val="24"/>
                <w:szCs w:val="24"/>
              </w:rPr>
              <w:t>93</w:t>
            </w:r>
            <w:r w:rsidR="002C2237" w:rsidRPr="009C7B65">
              <w:rPr>
                <w:rFonts w:ascii="Times New Roman" w:eastAsia="Times New Roman" w:hAnsi="Times New Roman"/>
                <w:b/>
                <w:bCs/>
                <w:color w:val="FFFFFF"/>
                <w:sz w:val="24"/>
                <w:szCs w:val="24"/>
              </w:rPr>
              <w:t>%</w:t>
            </w:r>
          </w:p>
        </w:tc>
        <w:tc>
          <w:tcPr>
            <w:tcW w:w="915" w:type="dxa"/>
            <w:tcBorders>
              <w:top w:val="nil"/>
              <w:left w:val="nil"/>
              <w:bottom w:val="single" w:sz="4" w:space="0" w:color="auto"/>
              <w:right w:val="single" w:sz="8" w:space="0" w:color="auto"/>
            </w:tcBorders>
            <w:shd w:val="clear" w:color="auto" w:fill="215967"/>
            <w:vAlign w:val="center"/>
            <w:hideMark/>
          </w:tcPr>
          <w:p w14:paraId="2EC3D932" w14:textId="1EB3174A" w:rsidR="002C2237" w:rsidRDefault="002C2237">
            <w:pPr>
              <w:spacing w:after="0" w:line="240" w:lineRule="auto"/>
              <w:jc w:val="center"/>
              <w:rPr>
                <w:rFonts w:ascii="Cambria" w:eastAsia="Times New Roman" w:hAnsi="Cambria" w:cs="Arial"/>
                <w:b/>
                <w:bCs/>
                <w:color w:val="FFFFFF"/>
                <w:sz w:val="24"/>
                <w:szCs w:val="24"/>
              </w:rPr>
            </w:pPr>
            <w:r w:rsidRPr="009C7B65">
              <w:rPr>
                <w:rFonts w:ascii="Times New Roman" w:eastAsia="Times New Roman" w:hAnsi="Times New Roman"/>
                <w:b/>
                <w:bCs/>
                <w:color w:val="FFFFFF"/>
                <w:sz w:val="24"/>
                <w:szCs w:val="24"/>
              </w:rPr>
              <w:t>85%</w:t>
            </w:r>
          </w:p>
        </w:tc>
      </w:tr>
      <w:tr w:rsidR="002C2237" w14:paraId="77952F81" w14:textId="77777777" w:rsidTr="002C2237">
        <w:trPr>
          <w:trHeight w:val="315"/>
          <w:jc w:val="center"/>
        </w:trPr>
        <w:tc>
          <w:tcPr>
            <w:tcW w:w="8035" w:type="dxa"/>
            <w:tcBorders>
              <w:top w:val="nil"/>
              <w:left w:val="single" w:sz="8" w:space="0" w:color="auto"/>
              <w:bottom w:val="single" w:sz="4" w:space="0" w:color="auto"/>
              <w:right w:val="single" w:sz="4" w:space="0" w:color="auto"/>
            </w:tcBorders>
            <w:noWrap/>
            <w:vAlign w:val="center"/>
            <w:hideMark/>
          </w:tcPr>
          <w:p w14:paraId="2B927B83" w14:textId="2E48BAD6" w:rsidR="002C2237" w:rsidRDefault="002C2237">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Item 16: Educational Needs of the </w:t>
            </w:r>
            <w:r w:rsidR="00943102">
              <w:rPr>
                <w:rFonts w:ascii="Cambria" w:eastAsia="Times New Roman" w:hAnsi="Cambria" w:cs="Arial"/>
                <w:color w:val="000000"/>
                <w:sz w:val="24"/>
                <w:szCs w:val="24"/>
              </w:rPr>
              <w:t xml:space="preserve">Child </w:t>
            </w:r>
            <w:r w:rsidR="00943102">
              <w:rPr>
                <w:rFonts w:ascii="Cambria" w:eastAsia="Times New Roman" w:hAnsi="Cambria" w:cs="Arial"/>
                <w:color w:val="000000"/>
                <w:sz w:val="20"/>
                <w:szCs w:val="20"/>
              </w:rPr>
              <w:t>(</w:t>
            </w:r>
            <w:r>
              <w:rPr>
                <w:rFonts w:ascii="Cambria" w:eastAsia="Times New Roman" w:hAnsi="Cambria" w:cs="Arial"/>
                <w:color w:val="000000"/>
                <w:sz w:val="20"/>
                <w:szCs w:val="20"/>
              </w:rPr>
              <w:t>N=107)</w:t>
            </w:r>
          </w:p>
        </w:tc>
        <w:tc>
          <w:tcPr>
            <w:tcW w:w="1025" w:type="dxa"/>
            <w:tcBorders>
              <w:top w:val="nil"/>
              <w:left w:val="nil"/>
              <w:bottom w:val="single" w:sz="4" w:space="0" w:color="auto"/>
              <w:right w:val="single" w:sz="8" w:space="0" w:color="auto"/>
            </w:tcBorders>
            <w:noWrap/>
            <w:vAlign w:val="center"/>
            <w:hideMark/>
          </w:tcPr>
          <w:p w14:paraId="2D991E84" w14:textId="1902F8CF" w:rsidR="002C2237" w:rsidRPr="00021791" w:rsidRDefault="0059558D">
            <w:pPr>
              <w:spacing w:after="0" w:line="240" w:lineRule="auto"/>
              <w:jc w:val="center"/>
              <w:rPr>
                <w:rFonts w:ascii="Cambria" w:eastAsia="Times New Roman" w:hAnsi="Cambria" w:cs="Arial"/>
                <w:color w:val="000000"/>
                <w:sz w:val="24"/>
                <w:szCs w:val="24"/>
              </w:rPr>
            </w:pPr>
            <w:r w:rsidRPr="00021791">
              <w:rPr>
                <w:rFonts w:ascii="Times New Roman" w:eastAsia="Times New Roman" w:hAnsi="Times New Roman"/>
                <w:color w:val="000000"/>
                <w:sz w:val="24"/>
                <w:szCs w:val="24"/>
              </w:rPr>
              <w:t>93</w:t>
            </w:r>
            <w:r w:rsidR="002C2237" w:rsidRPr="00021791">
              <w:rPr>
                <w:rFonts w:ascii="Times New Roman" w:eastAsia="Times New Roman" w:hAnsi="Times New Roman"/>
                <w:color w:val="000000"/>
                <w:sz w:val="24"/>
                <w:szCs w:val="24"/>
              </w:rPr>
              <w:t>%</w:t>
            </w:r>
          </w:p>
        </w:tc>
        <w:tc>
          <w:tcPr>
            <w:tcW w:w="975" w:type="dxa"/>
            <w:tcBorders>
              <w:top w:val="nil"/>
              <w:left w:val="nil"/>
              <w:bottom w:val="single" w:sz="4" w:space="0" w:color="auto"/>
              <w:right w:val="single" w:sz="8" w:space="0" w:color="auto"/>
            </w:tcBorders>
            <w:vAlign w:val="center"/>
            <w:hideMark/>
          </w:tcPr>
          <w:p w14:paraId="66348432" w14:textId="520F1A5B" w:rsidR="002C2237" w:rsidRDefault="00E551AB">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93</w:t>
            </w:r>
            <w:r w:rsidR="002C2237" w:rsidRPr="009C7B65">
              <w:rPr>
                <w:rFonts w:ascii="Times New Roman" w:eastAsia="Times New Roman" w:hAnsi="Times New Roman"/>
                <w:color w:val="000000"/>
                <w:sz w:val="24"/>
                <w:szCs w:val="24"/>
              </w:rPr>
              <w:t>%</w:t>
            </w:r>
          </w:p>
        </w:tc>
        <w:tc>
          <w:tcPr>
            <w:tcW w:w="915" w:type="dxa"/>
            <w:tcBorders>
              <w:top w:val="nil"/>
              <w:left w:val="nil"/>
              <w:bottom w:val="single" w:sz="4" w:space="0" w:color="auto"/>
              <w:right w:val="single" w:sz="8" w:space="0" w:color="auto"/>
            </w:tcBorders>
            <w:vAlign w:val="center"/>
            <w:hideMark/>
          </w:tcPr>
          <w:p w14:paraId="07C04EA1" w14:textId="785594F1" w:rsidR="002C2237" w:rsidRDefault="002C2237">
            <w:pPr>
              <w:spacing w:after="0" w:line="240" w:lineRule="auto"/>
              <w:jc w:val="center"/>
              <w:rPr>
                <w:rFonts w:ascii="Cambria" w:eastAsia="Times New Roman" w:hAnsi="Cambria" w:cs="Arial"/>
                <w:color w:val="000000"/>
                <w:sz w:val="24"/>
                <w:szCs w:val="24"/>
              </w:rPr>
            </w:pPr>
            <w:r w:rsidRPr="009C7B65">
              <w:rPr>
                <w:rFonts w:ascii="Times New Roman" w:eastAsia="Times New Roman" w:hAnsi="Times New Roman"/>
                <w:color w:val="000000"/>
                <w:sz w:val="24"/>
                <w:szCs w:val="24"/>
              </w:rPr>
              <w:t>85%</w:t>
            </w:r>
          </w:p>
        </w:tc>
      </w:tr>
      <w:tr w:rsidR="002C2237" w14:paraId="47B689C0" w14:textId="77777777" w:rsidTr="002C2237">
        <w:trPr>
          <w:trHeight w:val="630"/>
          <w:jc w:val="center"/>
        </w:trPr>
        <w:tc>
          <w:tcPr>
            <w:tcW w:w="8035" w:type="dxa"/>
            <w:tcBorders>
              <w:top w:val="nil"/>
              <w:left w:val="single" w:sz="8" w:space="0" w:color="auto"/>
              <w:bottom w:val="single" w:sz="4" w:space="0" w:color="auto"/>
              <w:right w:val="single" w:sz="4" w:space="0" w:color="FFFFFF"/>
            </w:tcBorders>
            <w:shd w:val="clear" w:color="auto" w:fill="215967"/>
            <w:vAlign w:val="center"/>
            <w:hideMark/>
          </w:tcPr>
          <w:p w14:paraId="314C70D5" w14:textId="57560A74" w:rsidR="002C2237" w:rsidRDefault="002C2237">
            <w:pPr>
              <w:spacing w:after="0" w:line="240" w:lineRule="auto"/>
              <w:rPr>
                <w:rFonts w:ascii="Cambria" w:eastAsia="Times New Roman" w:hAnsi="Cambria" w:cs="Arial"/>
                <w:b/>
                <w:bCs/>
                <w:color w:val="FFFFFF"/>
                <w:sz w:val="24"/>
                <w:szCs w:val="24"/>
              </w:rPr>
            </w:pPr>
            <w:r>
              <w:rPr>
                <w:rFonts w:ascii="Cambria" w:eastAsia="Times New Roman" w:hAnsi="Cambria" w:cs="Arial"/>
                <w:b/>
                <w:bCs/>
                <w:color w:val="FFFFFF"/>
                <w:sz w:val="24"/>
                <w:szCs w:val="24"/>
              </w:rPr>
              <w:t xml:space="preserve">Well-Being 3: Children receive adequate services to meet their physical and mental health </w:t>
            </w:r>
            <w:r w:rsidR="00943102">
              <w:rPr>
                <w:rFonts w:ascii="Cambria" w:eastAsia="Times New Roman" w:hAnsi="Cambria" w:cs="Arial"/>
                <w:b/>
                <w:bCs/>
                <w:color w:val="FFFFFF"/>
                <w:sz w:val="24"/>
                <w:szCs w:val="24"/>
              </w:rPr>
              <w:t>needs (</w:t>
            </w:r>
            <w:r>
              <w:rPr>
                <w:rFonts w:ascii="Cambria" w:eastAsia="Times New Roman" w:hAnsi="Cambria" w:cs="Arial"/>
                <w:color w:val="FFFFFF"/>
                <w:sz w:val="20"/>
                <w:szCs w:val="20"/>
              </w:rPr>
              <w:t>N=1</w:t>
            </w:r>
            <w:r w:rsidR="00E551AB">
              <w:rPr>
                <w:rFonts w:ascii="Cambria" w:eastAsia="Times New Roman" w:hAnsi="Cambria" w:cs="Arial"/>
                <w:color w:val="FFFFFF"/>
                <w:sz w:val="20"/>
                <w:szCs w:val="20"/>
              </w:rPr>
              <w:t>71</w:t>
            </w:r>
            <w:r>
              <w:rPr>
                <w:rFonts w:ascii="Cambria" w:eastAsia="Times New Roman" w:hAnsi="Cambria" w:cs="Arial"/>
                <w:color w:val="FFFFFF"/>
                <w:sz w:val="20"/>
                <w:szCs w:val="20"/>
              </w:rPr>
              <w:t>)</w:t>
            </w:r>
          </w:p>
        </w:tc>
        <w:tc>
          <w:tcPr>
            <w:tcW w:w="1025" w:type="dxa"/>
            <w:tcBorders>
              <w:top w:val="nil"/>
              <w:left w:val="nil"/>
              <w:bottom w:val="single" w:sz="4" w:space="0" w:color="auto"/>
              <w:right w:val="single" w:sz="8" w:space="0" w:color="auto"/>
            </w:tcBorders>
            <w:shd w:val="clear" w:color="auto" w:fill="215967"/>
            <w:noWrap/>
            <w:vAlign w:val="center"/>
            <w:hideMark/>
          </w:tcPr>
          <w:p w14:paraId="5C9176B7" w14:textId="5D3AF41A" w:rsidR="002C2237" w:rsidRDefault="002C2237">
            <w:pPr>
              <w:spacing w:after="0" w:line="240" w:lineRule="auto"/>
              <w:jc w:val="center"/>
              <w:rPr>
                <w:rFonts w:ascii="Cambria" w:eastAsia="Times New Roman" w:hAnsi="Cambria" w:cs="Arial"/>
                <w:b/>
                <w:bCs/>
                <w:color w:val="FFFFFF"/>
                <w:sz w:val="24"/>
                <w:szCs w:val="24"/>
              </w:rPr>
            </w:pPr>
            <w:r w:rsidRPr="009C7B65">
              <w:rPr>
                <w:rFonts w:ascii="Times New Roman" w:eastAsia="Times New Roman" w:hAnsi="Times New Roman"/>
                <w:b/>
                <w:bCs/>
                <w:color w:val="FFFFFF"/>
                <w:sz w:val="24"/>
                <w:szCs w:val="24"/>
              </w:rPr>
              <w:t>7</w:t>
            </w:r>
            <w:r w:rsidR="00E551AB">
              <w:rPr>
                <w:rFonts w:ascii="Times New Roman" w:eastAsia="Times New Roman" w:hAnsi="Times New Roman"/>
                <w:b/>
                <w:bCs/>
                <w:color w:val="FFFFFF"/>
                <w:sz w:val="24"/>
                <w:szCs w:val="24"/>
              </w:rPr>
              <w:t>5</w:t>
            </w:r>
            <w:r w:rsidRPr="009C7B65">
              <w:rPr>
                <w:rFonts w:ascii="Times New Roman" w:eastAsia="Times New Roman" w:hAnsi="Times New Roman"/>
                <w:b/>
                <w:bCs/>
                <w:color w:val="FFFFFF"/>
                <w:sz w:val="24"/>
                <w:szCs w:val="24"/>
              </w:rPr>
              <w:t>%</w:t>
            </w:r>
          </w:p>
        </w:tc>
        <w:tc>
          <w:tcPr>
            <w:tcW w:w="975" w:type="dxa"/>
            <w:tcBorders>
              <w:top w:val="nil"/>
              <w:left w:val="nil"/>
              <w:bottom w:val="single" w:sz="4" w:space="0" w:color="auto"/>
              <w:right w:val="single" w:sz="8" w:space="0" w:color="auto"/>
            </w:tcBorders>
            <w:shd w:val="clear" w:color="auto" w:fill="215967"/>
            <w:vAlign w:val="center"/>
            <w:hideMark/>
          </w:tcPr>
          <w:p w14:paraId="5384346E" w14:textId="6CFA55BC" w:rsidR="002C2237" w:rsidRDefault="002C2237">
            <w:pPr>
              <w:spacing w:after="0" w:line="240" w:lineRule="auto"/>
              <w:jc w:val="center"/>
              <w:rPr>
                <w:rFonts w:ascii="Cambria" w:eastAsia="Times New Roman" w:hAnsi="Cambria" w:cs="Arial"/>
                <w:b/>
                <w:bCs/>
                <w:color w:val="FFFFFF"/>
                <w:sz w:val="24"/>
                <w:szCs w:val="24"/>
              </w:rPr>
            </w:pPr>
            <w:r>
              <w:rPr>
                <w:rFonts w:ascii="Times New Roman" w:eastAsia="Times New Roman" w:hAnsi="Times New Roman"/>
                <w:b/>
                <w:bCs/>
                <w:color w:val="FFFFFF"/>
                <w:sz w:val="24"/>
                <w:szCs w:val="24"/>
              </w:rPr>
              <w:t>73</w:t>
            </w:r>
            <w:r w:rsidRPr="009C7B65">
              <w:rPr>
                <w:rFonts w:ascii="Times New Roman" w:eastAsia="Times New Roman" w:hAnsi="Times New Roman"/>
                <w:b/>
                <w:bCs/>
                <w:color w:val="FFFFFF"/>
                <w:sz w:val="24"/>
                <w:szCs w:val="24"/>
              </w:rPr>
              <w:t>%</w:t>
            </w:r>
          </w:p>
        </w:tc>
        <w:tc>
          <w:tcPr>
            <w:tcW w:w="915" w:type="dxa"/>
            <w:tcBorders>
              <w:top w:val="nil"/>
              <w:left w:val="nil"/>
              <w:bottom w:val="single" w:sz="4" w:space="0" w:color="auto"/>
              <w:right w:val="single" w:sz="8" w:space="0" w:color="auto"/>
            </w:tcBorders>
            <w:shd w:val="clear" w:color="auto" w:fill="215967"/>
            <w:vAlign w:val="center"/>
            <w:hideMark/>
          </w:tcPr>
          <w:p w14:paraId="11DC33A9" w14:textId="5A62EAB1" w:rsidR="002C2237" w:rsidRDefault="002C2237">
            <w:pPr>
              <w:spacing w:after="0" w:line="240" w:lineRule="auto"/>
              <w:jc w:val="center"/>
              <w:rPr>
                <w:rFonts w:ascii="Cambria" w:eastAsia="Times New Roman" w:hAnsi="Cambria" w:cs="Arial"/>
                <w:b/>
                <w:bCs/>
                <w:color w:val="FFFFFF"/>
                <w:sz w:val="24"/>
                <w:szCs w:val="24"/>
              </w:rPr>
            </w:pPr>
            <w:r w:rsidRPr="009C7B65">
              <w:rPr>
                <w:rFonts w:ascii="Times New Roman" w:eastAsia="Times New Roman" w:hAnsi="Times New Roman"/>
                <w:b/>
                <w:bCs/>
                <w:color w:val="FFFFFF"/>
                <w:sz w:val="24"/>
                <w:szCs w:val="24"/>
              </w:rPr>
              <w:t>66%</w:t>
            </w:r>
          </w:p>
        </w:tc>
      </w:tr>
      <w:tr w:rsidR="002C2237" w14:paraId="50299078" w14:textId="77777777" w:rsidTr="002C2237">
        <w:trPr>
          <w:trHeight w:val="315"/>
          <w:jc w:val="center"/>
        </w:trPr>
        <w:tc>
          <w:tcPr>
            <w:tcW w:w="8035" w:type="dxa"/>
            <w:tcBorders>
              <w:top w:val="nil"/>
              <w:left w:val="single" w:sz="8" w:space="0" w:color="auto"/>
              <w:bottom w:val="single" w:sz="4" w:space="0" w:color="auto"/>
              <w:right w:val="single" w:sz="4" w:space="0" w:color="auto"/>
            </w:tcBorders>
            <w:noWrap/>
            <w:vAlign w:val="center"/>
            <w:hideMark/>
          </w:tcPr>
          <w:p w14:paraId="40CF5CCC" w14:textId="4F49F38E" w:rsidR="002C2237" w:rsidRDefault="002C2237">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Item 17: Physical Health of the </w:t>
            </w:r>
            <w:r w:rsidR="00943102">
              <w:rPr>
                <w:rFonts w:ascii="Cambria" w:eastAsia="Times New Roman" w:hAnsi="Cambria" w:cs="Arial"/>
                <w:color w:val="000000"/>
                <w:sz w:val="24"/>
                <w:szCs w:val="24"/>
              </w:rPr>
              <w:t>Child</w:t>
            </w:r>
            <w:r w:rsidR="00943102">
              <w:rPr>
                <w:rFonts w:ascii="Cambria" w:eastAsia="Times New Roman" w:hAnsi="Cambria" w:cs="Arial"/>
                <w:color w:val="000000"/>
                <w:sz w:val="20"/>
                <w:szCs w:val="20"/>
              </w:rPr>
              <w:t xml:space="preserve"> (</w:t>
            </w:r>
            <w:r>
              <w:rPr>
                <w:rFonts w:ascii="Cambria" w:eastAsia="Times New Roman" w:hAnsi="Cambria" w:cs="Arial"/>
                <w:color w:val="000000"/>
                <w:sz w:val="20"/>
                <w:szCs w:val="20"/>
              </w:rPr>
              <w:t>N=1</w:t>
            </w:r>
            <w:r w:rsidR="00E551AB">
              <w:rPr>
                <w:rFonts w:ascii="Cambria" w:eastAsia="Times New Roman" w:hAnsi="Cambria" w:cs="Arial"/>
                <w:color w:val="000000"/>
                <w:sz w:val="20"/>
                <w:szCs w:val="20"/>
              </w:rPr>
              <w:t>59</w:t>
            </w:r>
            <w:r>
              <w:rPr>
                <w:rFonts w:ascii="Cambria" w:eastAsia="Times New Roman" w:hAnsi="Cambria" w:cs="Arial"/>
                <w:color w:val="000000"/>
                <w:sz w:val="20"/>
                <w:szCs w:val="20"/>
              </w:rPr>
              <w:t>)</w:t>
            </w:r>
          </w:p>
        </w:tc>
        <w:tc>
          <w:tcPr>
            <w:tcW w:w="1025" w:type="dxa"/>
            <w:tcBorders>
              <w:top w:val="nil"/>
              <w:left w:val="nil"/>
              <w:bottom w:val="single" w:sz="4" w:space="0" w:color="auto"/>
              <w:right w:val="single" w:sz="8" w:space="0" w:color="auto"/>
            </w:tcBorders>
            <w:noWrap/>
            <w:vAlign w:val="center"/>
            <w:hideMark/>
          </w:tcPr>
          <w:p w14:paraId="6E27D3FA" w14:textId="36448788" w:rsidR="002C2237" w:rsidRDefault="00E551AB">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81</w:t>
            </w:r>
            <w:r w:rsidR="002C2237" w:rsidRPr="009C7B65">
              <w:rPr>
                <w:rFonts w:ascii="Times New Roman" w:eastAsia="Times New Roman" w:hAnsi="Times New Roman"/>
                <w:color w:val="000000"/>
                <w:sz w:val="24"/>
                <w:szCs w:val="24"/>
              </w:rPr>
              <w:t>%</w:t>
            </w:r>
          </w:p>
        </w:tc>
        <w:tc>
          <w:tcPr>
            <w:tcW w:w="975" w:type="dxa"/>
            <w:tcBorders>
              <w:top w:val="nil"/>
              <w:left w:val="nil"/>
              <w:bottom w:val="single" w:sz="4" w:space="0" w:color="auto"/>
              <w:right w:val="single" w:sz="8" w:space="0" w:color="auto"/>
            </w:tcBorders>
            <w:vAlign w:val="center"/>
            <w:hideMark/>
          </w:tcPr>
          <w:p w14:paraId="08FBFDCF" w14:textId="7E103C34" w:rsidR="002C2237" w:rsidRDefault="00E551AB">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79</w:t>
            </w:r>
            <w:r w:rsidR="002C2237" w:rsidRPr="009C7B65">
              <w:rPr>
                <w:rFonts w:ascii="Times New Roman" w:eastAsia="Times New Roman" w:hAnsi="Times New Roman"/>
                <w:color w:val="000000"/>
                <w:sz w:val="24"/>
                <w:szCs w:val="24"/>
              </w:rPr>
              <w:t>%</w:t>
            </w:r>
          </w:p>
        </w:tc>
        <w:tc>
          <w:tcPr>
            <w:tcW w:w="915" w:type="dxa"/>
            <w:tcBorders>
              <w:top w:val="nil"/>
              <w:left w:val="nil"/>
              <w:bottom w:val="single" w:sz="4" w:space="0" w:color="auto"/>
              <w:right w:val="single" w:sz="8" w:space="0" w:color="auto"/>
            </w:tcBorders>
            <w:vAlign w:val="center"/>
            <w:hideMark/>
          </w:tcPr>
          <w:p w14:paraId="46449589" w14:textId="6633E36D" w:rsidR="002C2237" w:rsidRDefault="002C2237">
            <w:pPr>
              <w:spacing w:after="0" w:line="240" w:lineRule="auto"/>
              <w:jc w:val="center"/>
              <w:rPr>
                <w:rFonts w:ascii="Cambria" w:eastAsia="Times New Roman" w:hAnsi="Cambria" w:cs="Arial"/>
                <w:color w:val="000000"/>
                <w:sz w:val="24"/>
                <w:szCs w:val="24"/>
              </w:rPr>
            </w:pPr>
            <w:r w:rsidRPr="009C7B65">
              <w:rPr>
                <w:rFonts w:ascii="Times New Roman" w:eastAsia="Times New Roman" w:hAnsi="Times New Roman"/>
                <w:color w:val="000000"/>
                <w:sz w:val="24"/>
                <w:szCs w:val="24"/>
              </w:rPr>
              <w:t>81%</w:t>
            </w:r>
          </w:p>
        </w:tc>
      </w:tr>
      <w:tr w:rsidR="002C2237" w14:paraId="43A2C91E" w14:textId="77777777" w:rsidTr="002C2237">
        <w:trPr>
          <w:trHeight w:val="330"/>
          <w:jc w:val="center"/>
        </w:trPr>
        <w:tc>
          <w:tcPr>
            <w:tcW w:w="8035" w:type="dxa"/>
            <w:tcBorders>
              <w:top w:val="nil"/>
              <w:left w:val="single" w:sz="8" w:space="0" w:color="auto"/>
              <w:bottom w:val="single" w:sz="8" w:space="0" w:color="auto"/>
              <w:right w:val="single" w:sz="4" w:space="0" w:color="auto"/>
            </w:tcBorders>
            <w:noWrap/>
            <w:vAlign w:val="center"/>
            <w:hideMark/>
          </w:tcPr>
          <w:p w14:paraId="6598346B" w14:textId="38791EED" w:rsidR="002C2237" w:rsidRDefault="002C2237">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    Item 18: Mental/Behavioral Health of the </w:t>
            </w:r>
            <w:r w:rsidR="00943102">
              <w:rPr>
                <w:rFonts w:ascii="Cambria" w:eastAsia="Times New Roman" w:hAnsi="Cambria" w:cs="Arial"/>
                <w:color w:val="000000"/>
                <w:sz w:val="24"/>
                <w:szCs w:val="24"/>
              </w:rPr>
              <w:t>Child</w:t>
            </w:r>
            <w:r w:rsidR="00943102">
              <w:rPr>
                <w:rFonts w:ascii="Cambria" w:eastAsia="Times New Roman" w:hAnsi="Cambria" w:cs="Arial"/>
                <w:color w:val="000000"/>
                <w:sz w:val="20"/>
                <w:szCs w:val="20"/>
              </w:rPr>
              <w:t xml:space="preserve"> (</w:t>
            </w:r>
            <w:r>
              <w:rPr>
                <w:rFonts w:ascii="Cambria" w:eastAsia="Times New Roman" w:hAnsi="Cambria" w:cs="Arial"/>
                <w:color w:val="000000"/>
                <w:sz w:val="20"/>
                <w:szCs w:val="20"/>
              </w:rPr>
              <w:t>N=</w:t>
            </w:r>
            <w:r w:rsidR="00E551AB">
              <w:rPr>
                <w:rFonts w:ascii="Cambria" w:eastAsia="Times New Roman" w:hAnsi="Cambria" w:cs="Arial"/>
                <w:color w:val="000000"/>
                <w:sz w:val="20"/>
                <w:szCs w:val="20"/>
              </w:rPr>
              <w:t>93</w:t>
            </w:r>
            <w:r>
              <w:rPr>
                <w:rFonts w:ascii="Cambria" w:eastAsia="Times New Roman" w:hAnsi="Cambria" w:cs="Arial"/>
                <w:color w:val="000000"/>
                <w:sz w:val="20"/>
                <w:szCs w:val="20"/>
              </w:rPr>
              <w:t>)</w:t>
            </w:r>
          </w:p>
        </w:tc>
        <w:tc>
          <w:tcPr>
            <w:tcW w:w="1025" w:type="dxa"/>
            <w:tcBorders>
              <w:top w:val="nil"/>
              <w:left w:val="nil"/>
              <w:bottom w:val="single" w:sz="8" w:space="0" w:color="auto"/>
              <w:right w:val="single" w:sz="8" w:space="0" w:color="auto"/>
            </w:tcBorders>
            <w:noWrap/>
            <w:vAlign w:val="center"/>
            <w:hideMark/>
          </w:tcPr>
          <w:p w14:paraId="1B1FCB22" w14:textId="3F9DC9FD" w:rsidR="002C2237" w:rsidRDefault="0058217C">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84</w:t>
            </w:r>
            <w:r w:rsidR="002C2237" w:rsidRPr="009C7B65">
              <w:rPr>
                <w:rFonts w:ascii="Times New Roman" w:eastAsia="Times New Roman" w:hAnsi="Times New Roman"/>
                <w:color w:val="000000"/>
                <w:sz w:val="24"/>
                <w:szCs w:val="24"/>
              </w:rPr>
              <w:t>%</w:t>
            </w:r>
          </w:p>
        </w:tc>
        <w:tc>
          <w:tcPr>
            <w:tcW w:w="975" w:type="dxa"/>
            <w:tcBorders>
              <w:top w:val="nil"/>
              <w:left w:val="nil"/>
              <w:bottom w:val="single" w:sz="8" w:space="0" w:color="auto"/>
              <w:right w:val="single" w:sz="8" w:space="0" w:color="auto"/>
            </w:tcBorders>
            <w:vAlign w:val="center"/>
            <w:hideMark/>
          </w:tcPr>
          <w:p w14:paraId="2DC09E29" w14:textId="235AD7A9" w:rsidR="002C2237" w:rsidRDefault="00E551AB">
            <w:pPr>
              <w:spacing w:after="0" w:line="240" w:lineRule="auto"/>
              <w:jc w:val="center"/>
              <w:rPr>
                <w:rFonts w:ascii="Cambria" w:eastAsia="Times New Roman" w:hAnsi="Cambria" w:cs="Arial"/>
                <w:color w:val="000000"/>
                <w:sz w:val="24"/>
                <w:szCs w:val="24"/>
              </w:rPr>
            </w:pPr>
            <w:r>
              <w:rPr>
                <w:rFonts w:ascii="Times New Roman" w:eastAsia="Times New Roman" w:hAnsi="Times New Roman"/>
                <w:color w:val="000000"/>
                <w:sz w:val="24"/>
                <w:szCs w:val="24"/>
              </w:rPr>
              <w:t>77</w:t>
            </w:r>
            <w:r w:rsidR="002C2237" w:rsidRPr="009C7B65">
              <w:rPr>
                <w:rFonts w:ascii="Times New Roman" w:eastAsia="Times New Roman" w:hAnsi="Times New Roman"/>
                <w:color w:val="000000"/>
                <w:sz w:val="24"/>
                <w:szCs w:val="24"/>
              </w:rPr>
              <w:t>%</w:t>
            </w:r>
          </w:p>
        </w:tc>
        <w:tc>
          <w:tcPr>
            <w:tcW w:w="915" w:type="dxa"/>
            <w:tcBorders>
              <w:top w:val="nil"/>
              <w:left w:val="nil"/>
              <w:bottom w:val="single" w:sz="8" w:space="0" w:color="auto"/>
              <w:right w:val="single" w:sz="8" w:space="0" w:color="auto"/>
            </w:tcBorders>
            <w:vAlign w:val="center"/>
            <w:hideMark/>
          </w:tcPr>
          <w:p w14:paraId="51805752" w14:textId="39558B30" w:rsidR="002C2237" w:rsidRDefault="002C2237">
            <w:pPr>
              <w:spacing w:after="0" w:line="240" w:lineRule="auto"/>
              <w:jc w:val="center"/>
              <w:rPr>
                <w:rFonts w:ascii="Cambria" w:eastAsia="Times New Roman" w:hAnsi="Cambria" w:cs="Arial"/>
                <w:color w:val="000000"/>
                <w:sz w:val="24"/>
                <w:szCs w:val="24"/>
              </w:rPr>
            </w:pPr>
            <w:r w:rsidRPr="009C7B65">
              <w:rPr>
                <w:rFonts w:ascii="Times New Roman" w:eastAsia="Times New Roman" w:hAnsi="Times New Roman"/>
                <w:color w:val="000000"/>
                <w:sz w:val="24"/>
                <w:szCs w:val="24"/>
              </w:rPr>
              <w:t>68%</w:t>
            </w:r>
          </w:p>
        </w:tc>
      </w:tr>
    </w:tbl>
    <w:p w14:paraId="479CF8E3" w14:textId="77777777" w:rsidR="001C0BA3" w:rsidRPr="00DB5DF5" w:rsidRDefault="001C0BA3" w:rsidP="0074445B">
      <w:pPr>
        <w:spacing w:after="0" w:line="240" w:lineRule="auto"/>
        <w:jc w:val="both"/>
        <w:rPr>
          <w:rFonts w:ascii="Cambria" w:hAnsi="Cambria"/>
          <w:sz w:val="24"/>
          <w:szCs w:val="24"/>
        </w:rPr>
      </w:pPr>
    </w:p>
    <w:p w14:paraId="6C04F4BA" w14:textId="77777777" w:rsidR="0074445B" w:rsidRPr="00DB5DF5" w:rsidRDefault="0074445B" w:rsidP="0074445B">
      <w:pPr>
        <w:spacing w:after="0" w:line="240" w:lineRule="auto"/>
        <w:jc w:val="both"/>
        <w:rPr>
          <w:rFonts w:ascii="Cambria" w:hAnsi="Cambria"/>
          <w:sz w:val="24"/>
          <w:szCs w:val="24"/>
        </w:rPr>
      </w:pPr>
    </w:p>
    <w:p w14:paraId="56715397" w14:textId="77777777" w:rsidR="00531197" w:rsidRDefault="00531197">
      <w:pPr>
        <w:spacing w:after="0" w:line="240" w:lineRule="auto"/>
        <w:rPr>
          <w:rFonts w:ascii="Cambria" w:hAnsi="Cambria"/>
          <w:i/>
          <w:smallCaps/>
          <w:sz w:val="24"/>
          <w:szCs w:val="24"/>
        </w:rPr>
      </w:pPr>
      <w:r>
        <w:rPr>
          <w:rFonts w:ascii="Cambria" w:hAnsi="Cambria"/>
          <w:i/>
          <w:smallCaps/>
          <w:sz w:val="24"/>
          <w:szCs w:val="24"/>
        </w:rPr>
        <w:br w:type="page"/>
      </w:r>
    </w:p>
    <w:p w14:paraId="4E57B9D7" w14:textId="77777777" w:rsidR="00822FF7" w:rsidRDefault="00822FF7" w:rsidP="00822FF7">
      <w:pPr>
        <w:spacing w:after="0" w:line="240" w:lineRule="auto"/>
        <w:jc w:val="both"/>
        <w:rPr>
          <w:rFonts w:ascii="Cambria" w:hAnsi="Cambria"/>
          <w:i/>
          <w:smallCaps/>
          <w:sz w:val="24"/>
          <w:szCs w:val="24"/>
        </w:rPr>
      </w:pPr>
      <w:r>
        <w:rPr>
          <w:rFonts w:ascii="Cambria" w:hAnsi="Cambria"/>
          <w:i/>
          <w:smallCaps/>
          <w:sz w:val="24"/>
          <w:szCs w:val="24"/>
        </w:rPr>
        <w:t>Near Strength</w:t>
      </w:r>
    </w:p>
    <w:p w14:paraId="16814141" w14:textId="77777777" w:rsidR="00822FF7" w:rsidRDefault="00822FF7" w:rsidP="00822FF7">
      <w:pPr>
        <w:spacing w:after="0" w:line="240" w:lineRule="auto"/>
        <w:jc w:val="both"/>
        <w:rPr>
          <w:rFonts w:ascii="Cambria" w:hAnsi="Cambria" w:cs="Arial"/>
          <w:smallCaps/>
          <w:sz w:val="24"/>
          <w:szCs w:val="24"/>
          <w:highlight w:val="lightGray"/>
        </w:rPr>
      </w:pPr>
    </w:p>
    <w:p w14:paraId="77B10D69" w14:textId="2C931468" w:rsidR="00822FF7" w:rsidRDefault="00822FF7" w:rsidP="00822FF7">
      <w:pPr>
        <w:numPr>
          <w:ilvl w:val="0"/>
          <w:numId w:val="11"/>
        </w:numPr>
        <w:spacing w:after="0" w:line="240" w:lineRule="auto"/>
        <w:jc w:val="both"/>
        <w:rPr>
          <w:rFonts w:ascii="Cambria" w:hAnsi="Cambria" w:cs="Arial"/>
          <w:sz w:val="24"/>
          <w:szCs w:val="24"/>
        </w:rPr>
      </w:pPr>
      <w:r>
        <w:rPr>
          <w:rFonts w:ascii="Cambria" w:hAnsi="Cambria" w:cs="Arial"/>
          <w:b/>
          <w:sz w:val="24"/>
          <w:szCs w:val="24"/>
        </w:rPr>
        <w:t>Educational Needs of Children</w:t>
      </w:r>
      <w:r>
        <w:rPr>
          <w:rFonts w:ascii="Cambria" w:hAnsi="Cambria"/>
          <w:sz w:val="24"/>
          <w:szCs w:val="24"/>
        </w:rPr>
        <w:t xml:space="preserve"> – Staff </w:t>
      </w:r>
      <w:r>
        <w:rPr>
          <w:rFonts w:ascii="Cambria" w:hAnsi="Cambria" w:cs="Arial"/>
          <w:sz w:val="24"/>
          <w:szCs w:val="24"/>
        </w:rPr>
        <w:t>did well in assessing and addressing the educational needs of children</w:t>
      </w:r>
      <w:r w:rsidR="00130E06">
        <w:rPr>
          <w:rFonts w:ascii="Cambria" w:hAnsi="Cambria" w:cs="Arial"/>
          <w:sz w:val="24"/>
          <w:szCs w:val="24"/>
        </w:rPr>
        <w:t xml:space="preserve"> (Item 16)</w:t>
      </w:r>
      <w:r>
        <w:rPr>
          <w:rFonts w:ascii="Cambria" w:hAnsi="Cambria" w:cs="Arial"/>
          <w:sz w:val="24"/>
          <w:szCs w:val="24"/>
        </w:rPr>
        <w:t xml:space="preserve"> involved with the Division, effectively ensuring the provisi</w:t>
      </w:r>
      <w:r w:rsidR="00A719AC">
        <w:rPr>
          <w:rFonts w:ascii="Cambria" w:hAnsi="Cambria" w:cs="Arial"/>
          <w:sz w:val="24"/>
          <w:szCs w:val="24"/>
        </w:rPr>
        <w:t>on of appropriate services in 93</w:t>
      </w:r>
      <w:r>
        <w:rPr>
          <w:rFonts w:ascii="Cambria" w:hAnsi="Cambria" w:cs="Arial"/>
          <w:sz w:val="24"/>
          <w:szCs w:val="24"/>
        </w:rPr>
        <w:t xml:space="preserve"> percent of the reviewed cases.  Arkansas’ performance has continued to improve o</w:t>
      </w:r>
      <w:r w:rsidR="00A719AC">
        <w:rPr>
          <w:rFonts w:ascii="Cambria" w:hAnsi="Cambria" w:cs="Arial"/>
          <w:sz w:val="24"/>
          <w:szCs w:val="24"/>
        </w:rPr>
        <w:t xml:space="preserve">n this measure from the </w:t>
      </w:r>
      <w:r>
        <w:rPr>
          <w:rFonts w:ascii="Cambria" w:hAnsi="Cambria" w:cs="Arial"/>
          <w:sz w:val="24"/>
          <w:szCs w:val="24"/>
        </w:rPr>
        <w:t>Round 3 CFSR</w:t>
      </w:r>
      <w:r w:rsidR="00DB67B8">
        <w:rPr>
          <w:rFonts w:ascii="Cambria" w:hAnsi="Cambria" w:cs="Arial"/>
          <w:sz w:val="24"/>
          <w:szCs w:val="24"/>
        </w:rPr>
        <w:t xml:space="preserve"> and the Agency is just two points short of </w:t>
      </w:r>
      <w:r w:rsidR="00D87A05">
        <w:rPr>
          <w:rFonts w:ascii="Cambria" w:hAnsi="Cambria" w:cs="Arial"/>
          <w:sz w:val="24"/>
          <w:szCs w:val="24"/>
        </w:rPr>
        <w:t xml:space="preserve">achieving </w:t>
      </w:r>
      <w:r w:rsidR="00DB67B8">
        <w:rPr>
          <w:rFonts w:ascii="Cambria" w:hAnsi="Cambria" w:cs="Arial"/>
          <w:sz w:val="24"/>
          <w:szCs w:val="24"/>
        </w:rPr>
        <w:t xml:space="preserve">a </w:t>
      </w:r>
      <w:r w:rsidR="00BF5807">
        <w:rPr>
          <w:rFonts w:ascii="Cambria" w:hAnsi="Cambria" w:cs="Arial"/>
          <w:sz w:val="24"/>
          <w:szCs w:val="24"/>
        </w:rPr>
        <w:t>S</w:t>
      </w:r>
      <w:r w:rsidR="00DB67B8">
        <w:rPr>
          <w:rFonts w:ascii="Cambria" w:hAnsi="Cambria" w:cs="Arial"/>
          <w:sz w:val="24"/>
          <w:szCs w:val="24"/>
        </w:rPr>
        <w:t>trength rating</w:t>
      </w:r>
      <w:r>
        <w:rPr>
          <w:rFonts w:ascii="Cambria" w:hAnsi="Cambria" w:cs="Arial"/>
          <w:sz w:val="24"/>
          <w:szCs w:val="24"/>
        </w:rPr>
        <w:t>.</w:t>
      </w:r>
      <w:r w:rsidR="003F1075">
        <w:rPr>
          <w:rFonts w:ascii="Cambria" w:hAnsi="Cambria" w:cs="Arial"/>
          <w:sz w:val="24"/>
          <w:szCs w:val="24"/>
        </w:rPr>
        <w:t xml:space="preserve"> Areas 3, 4 and 7 were wholly successful in meeting the educational needs of children in </w:t>
      </w:r>
      <w:r w:rsidR="006E03C7">
        <w:rPr>
          <w:rFonts w:ascii="Cambria" w:hAnsi="Cambria" w:cs="Arial"/>
          <w:sz w:val="24"/>
          <w:szCs w:val="24"/>
        </w:rPr>
        <w:t>the</w:t>
      </w:r>
      <w:r w:rsidR="003F1075">
        <w:rPr>
          <w:rFonts w:ascii="Cambria" w:hAnsi="Cambria" w:cs="Arial"/>
          <w:sz w:val="24"/>
          <w:szCs w:val="24"/>
        </w:rPr>
        <w:t xml:space="preserve"> cases reviewed. </w:t>
      </w:r>
      <w:r w:rsidR="00EC5FA1">
        <w:rPr>
          <w:rFonts w:ascii="Cambria" w:hAnsi="Cambria" w:cs="Arial"/>
          <w:sz w:val="24"/>
          <w:szCs w:val="24"/>
        </w:rPr>
        <w:t xml:space="preserve">All </w:t>
      </w:r>
      <w:r w:rsidR="006E03C7">
        <w:rPr>
          <w:rFonts w:ascii="Cambria" w:hAnsi="Cambria" w:cs="Arial"/>
          <w:sz w:val="24"/>
          <w:szCs w:val="24"/>
        </w:rPr>
        <w:t>service a</w:t>
      </w:r>
      <w:r w:rsidR="00EC5FA1">
        <w:rPr>
          <w:rFonts w:ascii="Cambria" w:hAnsi="Cambria" w:cs="Arial"/>
          <w:sz w:val="24"/>
          <w:szCs w:val="24"/>
        </w:rPr>
        <w:t xml:space="preserve">reas, except </w:t>
      </w:r>
      <w:r w:rsidR="006E03C7">
        <w:rPr>
          <w:rFonts w:ascii="Cambria" w:hAnsi="Cambria" w:cs="Arial"/>
          <w:sz w:val="24"/>
          <w:szCs w:val="24"/>
        </w:rPr>
        <w:t xml:space="preserve">Areas </w:t>
      </w:r>
      <w:r w:rsidR="005322D8">
        <w:rPr>
          <w:rFonts w:ascii="Cambria" w:hAnsi="Cambria" w:cs="Arial"/>
          <w:sz w:val="24"/>
          <w:szCs w:val="24"/>
        </w:rPr>
        <w:t>5</w:t>
      </w:r>
      <w:r w:rsidR="00EC5FA1">
        <w:rPr>
          <w:rFonts w:ascii="Cambria" w:hAnsi="Cambria" w:cs="Arial"/>
          <w:sz w:val="24"/>
          <w:szCs w:val="24"/>
        </w:rPr>
        <w:t xml:space="preserve"> and 10</w:t>
      </w:r>
      <w:r w:rsidR="005322D8">
        <w:rPr>
          <w:rFonts w:ascii="Cambria" w:hAnsi="Cambria" w:cs="Arial"/>
          <w:sz w:val="24"/>
          <w:szCs w:val="24"/>
        </w:rPr>
        <w:t>,</w:t>
      </w:r>
      <w:r w:rsidR="00EC5FA1">
        <w:rPr>
          <w:rFonts w:ascii="Cambria" w:hAnsi="Cambria" w:cs="Arial"/>
          <w:sz w:val="24"/>
          <w:szCs w:val="24"/>
        </w:rPr>
        <w:t xml:space="preserve"> </w:t>
      </w:r>
      <w:r w:rsidR="008D3A62">
        <w:rPr>
          <w:rFonts w:ascii="Cambria" w:hAnsi="Cambria" w:cs="Arial"/>
          <w:sz w:val="24"/>
          <w:szCs w:val="24"/>
        </w:rPr>
        <w:t xml:space="preserve">continued to show substantial improvement </w:t>
      </w:r>
      <w:r w:rsidR="00383E35">
        <w:rPr>
          <w:rFonts w:ascii="Cambria" w:hAnsi="Cambria" w:cs="Arial"/>
          <w:sz w:val="24"/>
          <w:szCs w:val="24"/>
        </w:rPr>
        <w:t xml:space="preserve">or maintain </w:t>
      </w:r>
      <w:r w:rsidR="00673E13">
        <w:rPr>
          <w:rFonts w:ascii="Cambria" w:hAnsi="Cambria" w:cs="Arial"/>
          <w:sz w:val="24"/>
          <w:szCs w:val="24"/>
        </w:rPr>
        <w:t xml:space="preserve">successful </w:t>
      </w:r>
      <w:r w:rsidR="00E1337B">
        <w:rPr>
          <w:rFonts w:ascii="Cambria" w:hAnsi="Cambria" w:cs="Arial"/>
          <w:sz w:val="24"/>
          <w:szCs w:val="24"/>
        </w:rPr>
        <w:t>scores</w:t>
      </w:r>
      <w:r w:rsidR="00673E13">
        <w:rPr>
          <w:rFonts w:ascii="Cambria" w:hAnsi="Cambria" w:cs="Arial"/>
          <w:sz w:val="24"/>
          <w:szCs w:val="24"/>
        </w:rPr>
        <w:t xml:space="preserve"> nearing a strength </w:t>
      </w:r>
      <w:r w:rsidR="00E1337B">
        <w:rPr>
          <w:rFonts w:ascii="Cambria" w:hAnsi="Cambria" w:cs="Arial"/>
          <w:sz w:val="24"/>
          <w:szCs w:val="24"/>
        </w:rPr>
        <w:t xml:space="preserve">rating. </w:t>
      </w:r>
      <w:r w:rsidR="005322D8">
        <w:rPr>
          <w:rFonts w:ascii="Cambria" w:hAnsi="Cambria" w:cs="Arial"/>
          <w:sz w:val="24"/>
          <w:szCs w:val="24"/>
        </w:rPr>
        <w:t>Areas 5 and 10</w:t>
      </w:r>
      <w:r w:rsidR="00933CD2">
        <w:rPr>
          <w:rFonts w:ascii="Cambria" w:hAnsi="Cambria" w:cs="Arial"/>
          <w:sz w:val="24"/>
          <w:szCs w:val="24"/>
        </w:rPr>
        <w:t xml:space="preserve">, both which were </w:t>
      </w:r>
      <w:r w:rsidR="006E03C7">
        <w:rPr>
          <w:rFonts w:ascii="Cambria" w:hAnsi="Cambria" w:cs="Arial"/>
          <w:sz w:val="24"/>
          <w:szCs w:val="24"/>
        </w:rPr>
        <w:t xml:space="preserve">found to be </w:t>
      </w:r>
      <w:r w:rsidR="00933CD2">
        <w:rPr>
          <w:rFonts w:ascii="Cambria" w:hAnsi="Cambria" w:cs="Arial"/>
          <w:sz w:val="24"/>
          <w:szCs w:val="24"/>
        </w:rPr>
        <w:t xml:space="preserve">wholly successful in </w:t>
      </w:r>
      <w:r w:rsidR="006E03C7">
        <w:rPr>
          <w:rFonts w:ascii="Cambria" w:hAnsi="Cambria" w:cs="Arial"/>
          <w:sz w:val="24"/>
          <w:szCs w:val="24"/>
        </w:rPr>
        <w:t xml:space="preserve">the </w:t>
      </w:r>
      <w:r w:rsidR="006A36A1">
        <w:rPr>
          <w:rFonts w:ascii="Cambria" w:hAnsi="Cambria" w:cs="Arial"/>
          <w:sz w:val="24"/>
          <w:szCs w:val="24"/>
        </w:rPr>
        <w:t>SFY 2018</w:t>
      </w:r>
      <w:r w:rsidR="006E03C7">
        <w:rPr>
          <w:rFonts w:ascii="Cambria" w:hAnsi="Cambria" w:cs="Arial"/>
          <w:sz w:val="24"/>
          <w:szCs w:val="24"/>
        </w:rPr>
        <w:t xml:space="preserve"> QSPR</w:t>
      </w:r>
      <w:r w:rsidR="006A36A1">
        <w:rPr>
          <w:rFonts w:ascii="Cambria" w:hAnsi="Cambria" w:cs="Arial"/>
          <w:sz w:val="24"/>
          <w:szCs w:val="24"/>
        </w:rPr>
        <w:t xml:space="preserve">, </w:t>
      </w:r>
      <w:r w:rsidR="005322D8">
        <w:rPr>
          <w:rFonts w:ascii="Cambria" w:hAnsi="Cambria" w:cs="Arial"/>
          <w:sz w:val="24"/>
          <w:szCs w:val="24"/>
        </w:rPr>
        <w:t xml:space="preserve">decreased in performance </w:t>
      </w:r>
      <w:r w:rsidR="006E03C7">
        <w:rPr>
          <w:rFonts w:ascii="Cambria" w:hAnsi="Cambria" w:cs="Arial"/>
          <w:sz w:val="24"/>
          <w:szCs w:val="24"/>
        </w:rPr>
        <w:t xml:space="preserve">by </w:t>
      </w:r>
      <w:r w:rsidR="006A36A1">
        <w:rPr>
          <w:rFonts w:ascii="Cambria" w:hAnsi="Cambria" w:cs="Arial"/>
          <w:sz w:val="24"/>
          <w:szCs w:val="24"/>
        </w:rPr>
        <w:t xml:space="preserve">14 and </w:t>
      </w:r>
      <w:r w:rsidR="00452674">
        <w:rPr>
          <w:rFonts w:ascii="Cambria" w:hAnsi="Cambria" w:cs="Arial"/>
          <w:sz w:val="24"/>
          <w:szCs w:val="24"/>
        </w:rPr>
        <w:t>11 percentage points, respectively</w:t>
      </w:r>
      <w:r w:rsidR="006E03C7">
        <w:rPr>
          <w:rFonts w:ascii="Cambria" w:hAnsi="Cambria" w:cs="Arial"/>
          <w:sz w:val="24"/>
          <w:szCs w:val="24"/>
        </w:rPr>
        <w:t>, over the last year</w:t>
      </w:r>
      <w:r w:rsidR="00452674">
        <w:rPr>
          <w:rFonts w:ascii="Cambria" w:hAnsi="Cambria" w:cs="Arial"/>
          <w:sz w:val="24"/>
          <w:szCs w:val="24"/>
        </w:rPr>
        <w:t xml:space="preserve">. </w:t>
      </w:r>
    </w:p>
    <w:p w14:paraId="5E5C7B31" w14:textId="77777777" w:rsidR="00822FF7" w:rsidRDefault="00822FF7" w:rsidP="00822FF7">
      <w:pPr>
        <w:spacing w:after="0" w:line="240" w:lineRule="auto"/>
        <w:rPr>
          <w:rFonts w:ascii="Cambria" w:hAnsi="Cambria"/>
          <w:smallCaps/>
          <w:sz w:val="24"/>
          <w:szCs w:val="24"/>
        </w:rPr>
      </w:pPr>
    </w:p>
    <w:p w14:paraId="1CEEDEFE" w14:textId="77777777" w:rsidR="00822FF7" w:rsidRDefault="00822FF7" w:rsidP="00822FF7">
      <w:pPr>
        <w:spacing w:after="0" w:line="240" w:lineRule="auto"/>
        <w:rPr>
          <w:rFonts w:ascii="Cambria" w:hAnsi="Cambria"/>
          <w:smallCaps/>
          <w:sz w:val="24"/>
          <w:szCs w:val="24"/>
        </w:rPr>
      </w:pPr>
    </w:p>
    <w:p w14:paraId="12ED8819" w14:textId="77777777" w:rsidR="00822FF7" w:rsidRDefault="00822FF7" w:rsidP="00822FF7">
      <w:pPr>
        <w:spacing w:after="0" w:line="240" w:lineRule="auto"/>
        <w:jc w:val="both"/>
        <w:rPr>
          <w:rFonts w:ascii="Cambria" w:hAnsi="Cambria"/>
          <w:i/>
          <w:smallCaps/>
          <w:sz w:val="24"/>
          <w:szCs w:val="24"/>
        </w:rPr>
      </w:pPr>
      <w:r>
        <w:rPr>
          <w:rFonts w:ascii="Cambria" w:hAnsi="Cambria"/>
          <w:i/>
          <w:smallCaps/>
          <w:sz w:val="24"/>
          <w:szCs w:val="24"/>
        </w:rPr>
        <w:t>Areas Needing Improvement</w:t>
      </w:r>
    </w:p>
    <w:p w14:paraId="3D8AE80C" w14:textId="77777777" w:rsidR="00822FF7" w:rsidRDefault="00822FF7" w:rsidP="00822FF7">
      <w:pPr>
        <w:spacing w:after="0" w:line="240" w:lineRule="auto"/>
        <w:jc w:val="both"/>
        <w:rPr>
          <w:rFonts w:ascii="Cambria" w:hAnsi="Cambria"/>
          <w:smallCaps/>
          <w:sz w:val="24"/>
          <w:szCs w:val="24"/>
        </w:rPr>
      </w:pPr>
    </w:p>
    <w:p w14:paraId="32AAB1C9" w14:textId="13FBF1C9" w:rsidR="00340118" w:rsidRPr="00340118" w:rsidRDefault="00822FF7" w:rsidP="00340118">
      <w:pPr>
        <w:numPr>
          <w:ilvl w:val="0"/>
          <w:numId w:val="11"/>
        </w:numPr>
        <w:spacing w:after="0" w:line="240" w:lineRule="auto"/>
        <w:jc w:val="both"/>
        <w:rPr>
          <w:rFonts w:ascii="Cambria" w:hAnsi="Cambria"/>
          <w:sz w:val="24"/>
          <w:szCs w:val="24"/>
        </w:rPr>
      </w:pPr>
      <w:r w:rsidRPr="00340118">
        <w:rPr>
          <w:rFonts w:ascii="Cambria" w:hAnsi="Cambria" w:cs="Arial"/>
          <w:b/>
          <w:sz w:val="24"/>
          <w:szCs w:val="24"/>
        </w:rPr>
        <w:t>Needs and Services of Child, Parents and Foster Parents</w:t>
      </w:r>
      <w:r w:rsidRPr="00340118">
        <w:rPr>
          <w:rFonts w:ascii="Cambria" w:hAnsi="Cambria"/>
          <w:sz w:val="24"/>
          <w:szCs w:val="24"/>
        </w:rPr>
        <w:t xml:space="preserve"> – </w:t>
      </w:r>
      <w:r w:rsidR="00340118" w:rsidRPr="00340118">
        <w:rPr>
          <w:rFonts w:ascii="Cambria" w:hAnsi="Cambria"/>
          <w:sz w:val="24"/>
          <w:szCs w:val="24"/>
        </w:rPr>
        <w:t>In order to successfully mitigate the challenges that bring families into contact with the Division, their strengths, needs and resources must be competently assessed.  That assessment must then guide the development of the case plan and inform the specific interventions that will be utilized to assist families.  DCFS properly assess</w:t>
      </w:r>
      <w:r w:rsidR="00170D9F">
        <w:rPr>
          <w:rFonts w:ascii="Cambria" w:hAnsi="Cambria"/>
          <w:sz w:val="24"/>
          <w:szCs w:val="24"/>
        </w:rPr>
        <w:t>ed</w:t>
      </w:r>
      <w:r w:rsidR="00340118" w:rsidRPr="00340118">
        <w:rPr>
          <w:rFonts w:ascii="Cambria" w:hAnsi="Cambria"/>
          <w:sz w:val="24"/>
          <w:szCs w:val="24"/>
        </w:rPr>
        <w:t xml:space="preserve"> the needs of and/or provide</w:t>
      </w:r>
      <w:r w:rsidR="00170D9F">
        <w:rPr>
          <w:rFonts w:ascii="Cambria" w:hAnsi="Cambria"/>
          <w:sz w:val="24"/>
          <w:szCs w:val="24"/>
        </w:rPr>
        <w:t>d</w:t>
      </w:r>
      <w:r w:rsidR="00340118" w:rsidRPr="00340118">
        <w:rPr>
          <w:rFonts w:ascii="Cambria" w:hAnsi="Cambria"/>
          <w:sz w:val="24"/>
          <w:szCs w:val="24"/>
        </w:rPr>
        <w:t xml:space="preserve"> appropriate services to children and families</w:t>
      </w:r>
      <w:r w:rsidR="009D025C">
        <w:rPr>
          <w:rFonts w:ascii="Cambria" w:hAnsi="Cambria"/>
          <w:sz w:val="24"/>
          <w:szCs w:val="24"/>
        </w:rPr>
        <w:t xml:space="preserve"> (Item 12)</w:t>
      </w:r>
      <w:r w:rsidR="00340118" w:rsidRPr="00340118">
        <w:rPr>
          <w:rFonts w:ascii="Cambria" w:hAnsi="Cambria"/>
          <w:sz w:val="24"/>
          <w:szCs w:val="24"/>
        </w:rPr>
        <w:t xml:space="preserve"> </w:t>
      </w:r>
      <w:r w:rsidR="00D87A05">
        <w:rPr>
          <w:rFonts w:ascii="Cambria" w:hAnsi="Cambria"/>
          <w:sz w:val="24"/>
          <w:szCs w:val="24"/>
        </w:rPr>
        <w:t xml:space="preserve">in </w:t>
      </w:r>
      <w:r w:rsidR="00741AD2">
        <w:rPr>
          <w:rFonts w:ascii="Cambria" w:hAnsi="Cambria"/>
          <w:sz w:val="24"/>
          <w:szCs w:val="24"/>
        </w:rPr>
        <w:t>less than two-thirds of</w:t>
      </w:r>
      <w:r w:rsidR="00170D9F">
        <w:rPr>
          <w:rFonts w:ascii="Cambria" w:hAnsi="Cambria"/>
          <w:sz w:val="24"/>
          <w:szCs w:val="24"/>
        </w:rPr>
        <w:t xml:space="preserve"> the reviewed cases (</w:t>
      </w:r>
      <w:r w:rsidR="00DF37AA">
        <w:rPr>
          <w:rFonts w:ascii="Cambria" w:hAnsi="Cambria"/>
          <w:sz w:val="24"/>
          <w:szCs w:val="24"/>
        </w:rPr>
        <w:t>63</w:t>
      </w:r>
      <w:r w:rsidR="00340118" w:rsidRPr="00340118">
        <w:rPr>
          <w:rFonts w:ascii="Cambria" w:hAnsi="Cambria"/>
          <w:sz w:val="24"/>
          <w:szCs w:val="24"/>
        </w:rPr>
        <w:t xml:space="preserve"> percent) during SFY 201</w:t>
      </w:r>
      <w:r w:rsidR="00DF37AA">
        <w:rPr>
          <w:rFonts w:ascii="Cambria" w:hAnsi="Cambria"/>
          <w:sz w:val="24"/>
          <w:szCs w:val="24"/>
        </w:rPr>
        <w:t>9</w:t>
      </w:r>
      <w:r w:rsidR="00340118" w:rsidRPr="00340118">
        <w:rPr>
          <w:rFonts w:ascii="Cambria" w:hAnsi="Cambria"/>
          <w:sz w:val="24"/>
          <w:szCs w:val="24"/>
        </w:rPr>
        <w:t xml:space="preserve">.  While this </w:t>
      </w:r>
      <w:r w:rsidR="00D87A05">
        <w:rPr>
          <w:rFonts w:ascii="Cambria" w:hAnsi="Cambria"/>
          <w:sz w:val="24"/>
          <w:szCs w:val="24"/>
        </w:rPr>
        <w:t>represents</w:t>
      </w:r>
      <w:r w:rsidR="00340118" w:rsidRPr="00340118">
        <w:rPr>
          <w:rFonts w:ascii="Cambria" w:hAnsi="Cambria"/>
          <w:sz w:val="24"/>
          <w:szCs w:val="24"/>
        </w:rPr>
        <w:t xml:space="preserve"> a</w:t>
      </w:r>
      <w:r w:rsidR="005A417C">
        <w:rPr>
          <w:rFonts w:ascii="Cambria" w:hAnsi="Cambria"/>
          <w:sz w:val="24"/>
          <w:szCs w:val="24"/>
        </w:rPr>
        <w:t xml:space="preserve"> twenty</w:t>
      </w:r>
      <w:r w:rsidR="00C15DB0" w:rsidRPr="00340118">
        <w:rPr>
          <w:rFonts w:ascii="Cambria" w:hAnsi="Cambria"/>
          <w:sz w:val="24"/>
          <w:szCs w:val="24"/>
        </w:rPr>
        <w:t>-percentage</w:t>
      </w:r>
      <w:r w:rsidR="00D87A05">
        <w:rPr>
          <w:rFonts w:ascii="Cambria" w:hAnsi="Cambria"/>
          <w:sz w:val="24"/>
          <w:szCs w:val="24"/>
        </w:rPr>
        <w:t xml:space="preserve"> point</w:t>
      </w:r>
      <w:r w:rsidR="00340118" w:rsidRPr="00340118">
        <w:rPr>
          <w:rFonts w:ascii="Cambria" w:hAnsi="Cambria"/>
          <w:sz w:val="24"/>
          <w:szCs w:val="24"/>
        </w:rPr>
        <w:t xml:space="preserve"> increase over the Round 3 CFSR and a </w:t>
      </w:r>
      <w:r w:rsidR="00741AD2">
        <w:rPr>
          <w:rFonts w:ascii="Cambria" w:hAnsi="Cambria"/>
          <w:sz w:val="24"/>
          <w:szCs w:val="24"/>
        </w:rPr>
        <w:t>6</w:t>
      </w:r>
      <w:r w:rsidR="00943102" w:rsidRPr="00340118">
        <w:rPr>
          <w:rFonts w:ascii="Cambria" w:hAnsi="Cambria"/>
          <w:sz w:val="24"/>
          <w:szCs w:val="24"/>
        </w:rPr>
        <w:t>-percentage</w:t>
      </w:r>
      <w:r w:rsidR="00D87A05">
        <w:rPr>
          <w:rFonts w:ascii="Cambria" w:hAnsi="Cambria"/>
          <w:sz w:val="24"/>
          <w:szCs w:val="24"/>
        </w:rPr>
        <w:t xml:space="preserve"> point</w:t>
      </w:r>
      <w:r w:rsidR="00340118" w:rsidRPr="00340118">
        <w:rPr>
          <w:rFonts w:ascii="Cambria" w:hAnsi="Cambria"/>
          <w:sz w:val="24"/>
          <w:szCs w:val="24"/>
        </w:rPr>
        <w:t xml:space="preserve"> increase over the SFY 201</w:t>
      </w:r>
      <w:r w:rsidR="005A417C">
        <w:rPr>
          <w:rFonts w:ascii="Cambria" w:hAnsi="Cambria"/>
          <w:sz w:val="24"/>
          <w:szCs w:val="24"/>
        </w:rPr>
        <w:t>8</w:t>
      </w:r>
      <w:r w:rsidR="00340118" w:rsidRPr="00340118">
        <w:rPr>
          <w:rFonts w:ascii="Cambria" w:hAnsi="Cambria"/>
          <w:sz w:val="24"/>
          <w:szCs w:val="24"/>
        </w:rPr>
        <w:t xml:space="preserve"> QSPR, </w:t>
      </w:r>
      <w:r w:rsidR="0032435B">
        <w:rPr>
          <w:rFonts w:ascii="Cambria" w:hAnsi="Cambria"/>
          <w:sz w:val="24"/>
          <w:szCs w:val="24"/>
        </w:rPr>
        <w:t>DCFS still struggle</w:t>
      </w:r>
      <w:r w:rsidR="00741AD2">
        <w:rPr>
          <w:rFonts w:ascii="Cambria" w:hAnsi="Cambria"/>
          <w:sz w:val="24"/>
          <w:szCs w:val="24"/>
        </w:rPr>
        <w:t>s</w:t>
      </w:r>
      <w:r w:rsidR="0032435B">
        <w:rPr>
          <w:rFonts w:ascii="Cambria" w:hAnsi="Cambria"/>
          <w:sz w:val="24"/>
          <w:szCs w:val="24"/>
        </w:rPr>
        <w:t xml:space="preserve"> </w:t>
      </w:r>
      <w:r w:rsidR="00164112">
        <w:rPr>
          <w:rFonts w:ascii="Cambria" w:hAnsi="Cambria"/>
          <w:sz w:val="24"/>
          <w:szCs w:val="24"/>
        </w:rPr>
        <w:t>in providing the necessary needs and services to clients, especially biological parents</w:t>
      </w:r>
      <w:r w:rsidR="007979C0">
        <w:rPr>
          <w:rFonts w:ascii="Cambria" w:hAnsi="Cambria"/>
          <w:sz w:val="24"/>
          <w:szCs w:val="24"/>
        </w:rPr>
        <w:t xml:space="preserve">, where adequate needs and services </w:t>
      </w:r>
      <w:r w:rsidR="00D03885">
        <w:rPr>
          <w:rFonts w:ascii="Cambria" w:hAnsi="Cambria"/>
          <w:sz w:val="24"/>
          <w:szCs w:val="24"/>
        </w:rPr>
        <w:t>were provided in only 63 percent of cases reviewed</w:t>
      </w:r>
      <w:r w:rsidR="00164112">
        <w:rPr>
          <w:rFonts w:ascii="Cambria" w:hAnsi="Cambria"/>
          <w:sz w:val="24"/>
          <w:szCs w:val="24"/>
        </w:rPr>
        <w:t xml:space="preserve">. </w:t>
      </w:r>
      <w:r w:rsidR="00BC4276" w:rsidRPr="00340118">
        <w:rPr>
          <w:rFonts w:ascii="Cambria" w:hAnsi="Cambria"/>
          <w:sz w:val="24"/>
          <w:szCs w:val="24"/>
        </w:rPr>
        <w:t>Efforts to address systemic issues must continue to be made in all service areas.</w:t>
      </w:r>
    </w:p>
    <w:p w14:paraId="64050B3F" w14:textId="77777777" w:rsidR="00340118" w:rsidRDefault="00340118" w:rsidP="00340118">
      <w:pPr>
        <w:spacing w:after="0" w:line="240" w:lineRule="auto"/>
        <w:ind w:left="360"/>
        <w:jc w:val="both"/>
        <w:rPr>
          <w:rFonts w:ascii="Cambria" w:hAnsi="Cambria"/>
          <w:sz w:val="24"/>
          <w:szCs w:val="24"/>
        </w:rPr>
      </w:pPr>
    </w:p>
    <w:p w14:paraId="70270ED1" w14:textId="77777777" w:rsidR="00822FF7" w:rsidRDefault="00822FF7" w:rsidP="00822FF7">
      <w:pPr>
        <w:spacing w:after="0" w:line="240" w:lineRule="auto"/>
        <w:jc w:val="both"/>
        <w:rPr>
          <w:rFonts w:ascii="Cambria" w:hAnsi="Cambria"/>
          <w:sz w:val="24"/>
          <w:szCs w:val="24"/>
        </w:rPr>
      </w:pPr>
    </w:p>
    <w:tbl>
      <w:tblPr>
        <w:tblW w:w="9723" w:type="dxa"/>
        <w:jc w:val="center"/>
        <w:tblLook w:val="04A0" w:firstRow="1" w:lastRow="0" w:firstColumn="1" w:lastColumn="0" w:noHBand="0" w:noVBand="1"/>
      </w:tblPr>
      <w:tblGrid>
        <w:gridCol w:w="1195"/>
        <w:gridCol w:w="5962"/>
        <w:gridCol w:w="1069"/>
        <w:gridCol w:w="813"/>
        <w:gridCol w:w="943"/>
      </w:tblGrid>
      <w:tr w:rsidR="00822FF7" w14:paraId="0A39C759" w14:textId="77777777" w:rsidTr="00822FF7">
        <w:trPr>
          <w:trHeight w:val="315"/>
          <w:jc w:val="center"/>
        </w:trPr>
        <w:tc>
          <w:tcPr>
            <w:tcW w:w="9723" w:type="dxa"/>
            <w:gridSpan w:val="5"/>
            <w:tcBorders>
              <w:top w:val="single" w:sz="4" w:space="0" w:color="auto"/>
              <w:left w:val="single" w:sz="4" w:space="0" w:color="auto"/>
              <w:bottom w:val="single" w:sz="4" w:space="0" w:color="auto"/>
              <w:right w:val="single" w:sz="4" w:space="0" w:color="000000"/>
            </w:tcBorders>
            <w:shd w:val="clear" w:color="auto" w:fill="215967"/>
            <w:noWrap/>
            <w:vAlign w:val="center"/>
            <w:hideMark/>
          </w:tcPr>
          <w:p w14:paraId="34ED2F3B" w14:textId="77777777" w:rsidR="00822FF7" w:rsidRDefault="00822FF7">
            <w:pPr>
              <w:spacing w:after="0" w:line="240" w:lineRule="auto"/>
              <w:jc w:val="center"/>
              <w:rPr>
                <w:rFonts w:ascii="Cambria" w:eastAsia="Times New Roman" w:hAnsi="Cambria" w:cs="Arial"/>
                <w:b/>
                <w:bCs/>
                <w:color w:val="FFFFFF"/>
                <w:sz w:val="24"/>
                <w:szCs w:val="24"/>
              </w:rPr>
            </w:pPr>
            <w:r>
              <w:rPr>
                <w:rFonts w:ascii="Cambria" w:eastAsia="Times New Roman" w:hAnsi="Cambria" w:cs="Arial"/>
                <w:b/>
                <w:bCs/>
                <w:color w:val="FFFFFF"/>
                <w:sz w:val="24"/>
                <w:szCs w:val="24"/>
              </w:rPr>
              <w:t>Table 4: Needs Assessment and Service Provision</w:t>
            </w:r>
          </w:p>
        </w:tc>
      </w:tr>
      <w:tr w:rsidR="00822FF7" w14:paraId="494276E9" w14:textId="77777777" w:rsidTr="00822FF7">
        <w:trPr>
          <w:trHeight w:val="573"/>
          <w:jc w:val="center"/>
        </w:trPr>
        <w:tc>
          <w:tcPr>
            <w:tcW w:w="7157" w:type="dxa"/>
            <w:gridSpan w:val="2"/>
            <w:tcBorders>
              <w:top w:val="single" w:sz="4" w:space="0" w:color="auto"/>
              <w:left w:val="single" w:sz="4" w:space="0" w:color="auto"/>
              <w:bottom w:val="nil"/>
              <w:right w:val="single" w:sz="4" w:space="0" w:color="000000"/>
            </w:tcBorders>
            <w:shd w:val="clear" w:color="auto" w:fill="215967"/>
            <w:noWrap/>
            <w:vAlign w:val="center"/>
          </w:tcPr>
          <w:p w14:paraId="65A1694C" w14:textId="77777777" w:rsidR="00822FF7" w:rsidRDefault="00822FF7">
            <w:pPr>
              <w:spacing w:after="0" w:line="240" w:lineRule="auto"/>
              <w:jc w:val="center"/>
              <w:rPr>
                <w:rFonts w:ascii="Cambria" w:eastAsia="Times New Roman" w:hAnsi="Cambria" w:cs="Arial"/>
                <w:b/>
                <w:bCs/>
                <w:color w:val="FFFFFF"/>
                <w:sz w:val="24"/>
                <w:szCs w:val="24"/>
              </w:rPr>
            </w:pPr>
          </w:p>
        </w:tc>
        <w:tc>
          <w:tcPr>
            <w:tcW w:w="900" w:type="dxa"/>
            <w:tcBorders>
              <w:top w:val="single" w:sz="4" w:space="0" w:color="auto"/>
              <w:left w:val="single" w:sz="4" w:space="0" w:color="auto"/>
              <w:bottom w:val="nil"/>
              <w:right w:val="single" w:sz="4" w:space="0" w:color="000000"/>
            </w:tcBorders>
            <w:shd w:val="clear" w:color="auto" w:fill="215967"/>
            <w:vAlign w:val="center"/>
            <w:hideMark/>
          </w:tcPr>
          <w:p w14:paraId="7C51877F" w14:textId="2E0718FC" w:rsidR="00822FF7" w:rsidRDefault="00340118">
            <w:pPr>
              <w:spacing w:after="0" w:line="240" w:lineRule="auto"/>
              <w:jc w:val="center"/>
              <w:rPr>
                <w:rFonts w:ascii="Cambria" w:eastAsia="Times New Roman" w:hAnsi="Cambria" w:cs="Arial"/>
                <w:b/>
                <w:bCs/>
                <w:color w:val="FFFFFF"/>
                <w:sz w:val="24"/>
                <w:szCs w:val="24"/>
              </w:rPr>
            </w:pPr>
            <w:r>
              <w:rPr>
                <w:rFonts w:ascii="Cambria" w:eastAsia="Times New Roman" w:hAnsi="Cambria" w:cs="Arial"/>
                <w:b/>
                <w:bCs/>
                <w:color w:val="FFFFFF"/>
                <w:sz w:val="24"/>
                <w:szCs w:val="24"/>
              </w:rPr>
              <w:t xml:space="preserve">SFY </w:t>
            </w:r>
            <w:r w:rsidR="00741AD2">
              <w:rPr>
                <w:rFonts w:ascii="Cambria" w:eastAsia="Times New Roman" w:hAnsi="Cambria" w:cs="Arial"/>
                <w:b/>
                <w:bCs/>
                <w:color w:val="FFFFFF"/>
                <w:sz w:val="24"/>
                <w:szCs w:val="24"/>
              </w:rPr>
              <w:t>2019</w:t>
            </w:r>
            <w:r>
              <w:rPr>
                <w:rFonts w:ascii="Cambria" w:eastAsia="Times New Roman" w:hAnsi="Cambria" w:cs="Arial"/>
                <w:b/>
                <w:bCs/>
                <w:color w:val="FFFFFF"/>
                <w:sz w:val="24"/>
                <w:szCs w:val="24"/>
              </w:rPr>
              <w:t>1</w:t>
            </w:r>
            <w:r w:rsidR="0058217C">
              <w:rPr>
                <w:rFonts w:ascii="Cambria" w:eastAsia="Times New Roman" w:hAnsi="Cambria" w:cs="Arial"/>
                <w:b/>
                <w:bCs/>
                <w:color w:val="FFFFFF"/>
                <w:sz w:val="24"/>
                <w:szCs w:val="24"/>
              </w:rPr>
              <w:t>9</w:t>
            </w:r>
            <w:r w:rsidR="00741AD2">
              <w:rPr>
                <w:rFonts w:ascii="Cambria" w:eastAsia="Times New Roman" w:hAnsi="Cambria" w:cs="Arial"/>
                <w:b/>
                <w:bCs/>
                <w:color w:val="FFFFFF"/>
                <w:sz w:val="24"/>
                <w:szCs w:val="24"/>
              </w:rPr>
              <w:t xml:space="preserve"> QSPR</w:t>
            </w:r>
          </w:p>
        </w:tc>
        <w:tc>
          <w:tcPr>
            <w:tcW w:w="813" w:type="dxa"/>
            <w:tcBorders>
              <w:top w:val="single" w:sz="4" w:space="0" w:color="auto"/>
              <w:left w:val="single" w:sz="4" w:space="0" w:color="auto"/>
              <w:bottom w:val="nil"/>
              <w:right w:val="single" w:sz="4" w:space="0" w:color="000000"/>
            </w:tcBorders>
            <w:shd w:val="clear" w:color="auto" w:fill="215967"/>
            <w:vAlign w:val="center"/>
            <w:hideMark/>
          </w:tcPr>
          <w:p w14:paraId="168BD2F3" w14:textId="77777777" w:rsidR="0058217C" w:rsidRDefault="00340118">
            <w:pPr>
              <w:spacing w:after="0" w:line="240" w:lineRule="auto"/>
              <w:jc w:val="center"/>
              <w:rPr>
                <w:rFonts w:ascii="Cambria" w:eastAsia="Times New Roman" w:hAnsi="Cambria" w:cs="Arial"/>
                <w:b/>
                <w:bCs/>
                <w:color w:val="FFFFFF"/>
                <w:sz w:val="24"/>
                <w:szCs w:val="24"/>
              </w:rPr>
            </w:pPr>
            <w:r>
              <w:rPr>
                <w:rFonts w:ascii="Cambria" w:eastAsia="Times New Roman" w:hAnsi="Cambria" w:cs="Arial"/>
                <w:b/>
                <w:bCs/>
                <w:color w:val="FFFFFF"/>
                <w:sz w:val="24"/>
                <w:szCs w:val="24"/>
              </w:rPr>
              <w:t>SF</w:t>
            </w:r>
            <w:r w:rsidR="0058217C">
              <w:rPr>
                <w:rFonts w:ascii="Cambria" w:eastAsia="Times New Roman" w:hAnsi="Cambria" w:cs="Arial"/>
                <w:b/>
                <w:bCs/>
                <w:color w:val="FFFFFF"/>
                <w:sz w:val="24"/>
                <w:szCs w:val="24"/>
              </w:rPr>
              <w:t>Y</w:t>
            </w:r>
          </w:p>
          <w:p w14:paraId="5EC81775" w14:textId="4377633E" w:rsidR="00822FF7" w:rsidRDefault="00741AD2">
            <w:pPr>
              <w:spacing w:after="0" w:line="240" w:lineRule="auto"/>
              <w:jc w:val="center"/>
              <w:rPr>
                <w:rFonts w:ascii="Cambria" w:eastAsia="Times New Roman" w:hAnsi="Cambria" w:cs="Arial"/>
                <w:b/>
                <w:bCs/>
                <w:color w:val="FFFFFF"/>
                <w:sz w:val="24"/>
                <w:szCs w:val="24"/>
              </w:rPr>
            </w:pPr>
            <w:r>
              <w:rPr>
                <w:rFonts w:ascii="Cambria" w:eastAsia="Times New Roman" w:hAnsi="Cambria" w:cs="Arial"/>
                <w:b/>
                <w:bCs/>
                <w:color w:val="FFFFFF"/>
                <w:sz w:val="24"/>
                <w:szCs w:val="24"/>
              </w:rPr>
              <w:t>20</w:t>
            </w:r>
            <w:r w:rsidR="00340118">
              <w:rPr>
                <w:rFonts w:ascii="Cambria" w:eastAsia="Times New Roman" w:hAnsi="Cambria" w:cs="Arial"/>
                <w:b/>
                <w:bCs/>
                <w:color w:val="FFFFFF"/>
                <w:sz w:val="24"/>
                <w:szCs w:val="24"/>
              </w:rPr>
              <w:t>1</w:t>
            </w:r>
            <w:r w:rsidR="0058217C">
              <w:rPr>
                <w:rFonts w:ascii="Cambria" w:eastAsia="Times New Roman" w:hAnsi="Cambria" w:cs="Arial"/>
                <w:b/>
                <w:bCs/>
                <w:color w:val="FFFFFF"/>
                <w:sz w:val="24"/>
                <w:szCs w:val="24"/>
              </w:rPr>
              <w:t>8</w:t>
            </w:r>
            <w:r>
              <w:rPr>
                <w:rFonts w:ascii="Cambria" w:eastAsia="Times New Roman" w:hAnsi="Cambria" w:cs="Arial"/>
                <w:b/>
                <w:bCs/>
                <w:color w:val="FFFFFF"/>
                <w:sz w:val="24"/>
                <w:szCs w:val="24"/>
              </w:rPr>
              <w:t xml:space="preserve"> QSPR</w:t>
            </w:r>
          </w:p>
        </w:tc>
        <w:tc>
          <w:tcPr>
            <w:tcW w:w="853" w:type="dxa"/>
            <w:tcBorders>
              <w:top w:val="single" w:sz="4" w:space="0" w:color="auto"/>
              <w:left w:val="single" w:sz="4" w:space="0" w:color="auto"/>
              <w:bottom w:val="nil"/>
              <w:right w:val="single" w:sz="4" w:space="0" w:color="000000"/>
            </w:tcBorders>
            <w:shd w:val="clear" w:color="auto" w:fill="215967"/>
            <w:vAlign w:val="center"/>
            <w:hideMark/>
          </w:tcPr>
          <w:p w14:paraId="3D38DB51" w14:textId="17683372" w:rsidR="00822FF7" w:rsidRDefault="00741AD2">
            <w:pPr>
              <w:spacing w:after="0" w:line="240" w:lineRule="auto"/>
              <w:jc w:val="center"/>
              <w:rPr>
                <w:rFonts w:ascii="Cambria" w:eastAsia="Times New Roman" w:hAnsi="Cambria" w:cs="Arial"/>
                <w:b/>
                <w:bCs/>
                <w:color w:val="FFFFFF"/>
                <w:sz w:val="24"/>
                <w:szCs w:val="24"/>
              </w:rPr>
            </w:pPr>
            <w:r>
              <w:rPr>
                <w:rFonts w:ascii="Cambria" w:eastAsia="Times New Roman" w:hAnsi="Cambria" w:cs="Arial"/>
                <w:b/>
                <w:bCs/>
                <w:color w:val="FFFFFF"/>
                <w:sz w:val="24"/>
                <w:szCs w:val="24"/>
              </w:rPr>
              <w:t xml:space="preserve">Round 3 </w:t>
            </w:r>
            <w:r w:rsidR="00340118">
              <w:rPr>
                <w:rFonts w:ascii="Cambria" w:eastAsia="Times New Roman" w:hAnsi="Cambria" w:cs="Arial"/>
                <w:b/>
                <w:bCs/>
                <w:color w:val="FFFFFF"/>
                <w:sz w:val="24"/>
                <w:szCs w:val="24"/>
              </w:rPr>
              <w:t>CFSR</w:t>
            </w:r>
          </w:p>
        </w:tc>
      </w:tr>
      <w:tr w:rsidR="00822FF7" w14:paraId="6E840EDD" w14:textId="77777777" w:rsidTr="00340118">
        <w:trPr>
          <w:trHeight w:val="300"/>
          <w:jc w:val="center"/>
        </w:trPr>
        <w:tc>
          <w:tcPr>
            <w:tcW w:w="1195" w:type="dxa"/>
            <w:tcBorders>
              <w:top w:val="nil"/>
              <w:left w:val="single" w:sz="4" w:space="0" w:color="auto"/>
              <w:bottom w:val="single" w:sz="4" w:space="0" w:color="auto"/>
              <w:right w:val="single" w:sz="4" w:space="0" w:color="auto"/>
            </w:tcBorders>
            <w:shd w:val="clear" w:color="auto" w:fill="FFFFFF"/>
            <w:vAlign w:val="center"/>
            <w:hideMark/>
          </w:tcPr>
          <w:p w14:paraId="15D8A33C" w14:textId="77777777" w:rsidR="00822FF7" w:rsidRDefault="00822FF7">
            <w:pPr>
              <w:spacing w:after="0" w:line="240" w:lineRule="auto"/>
              <w:rPr>
                <w:rFonts w:ascii="Cambria" w:eastAsia="Times New Roman" w:hAnsi="Cambria" w:cs="Arial"/>
                <w:bCs/>
                <w:color w:val="000000"/>
                <w:sz w:val="24"/>
                <w:szCs w:val="24"/>
              </w:rPr>
            </w:pPr>
            <w:r>
              <w:rPr>
                <w:rFonts w:ascii="Cambria" w:eastAsia="Times New Roman" w:hAnsi="Cambria" w:cs="Arial"/>
                <w:bCs/>
                <w:color w:val="000000"/>
                <w:sz w:val="24"/>
                <w:szCs w:val="24"/>
              </w:rPr>
              <w:t>Item 12</w:t>
            </w:r>
          </w:p>
        </w:tc>
        <w:tc>
          <w:tcPr>
            <w:tcW w:w="5962" w:type="dxa"/>
            <w:tcBorders>
              <w:top w:val="nil"/>
              <w:left w:val="nil"/>
              <w:bottom w:val="single" w:sz="4" w:space="0" w:color="auto"/>
              <w:right w:val="single" w:sz="4" w:space="0" w:color="auto"/>
            </w:tcBorders>
            <w:shd w:val="clear" w:color="auto" w:fill="FFFFFF"/>
            <w:vAlign w:val="center"/>
            <w:hideMark/>
          </w:tcPr>
          <w:p w14:paraId="32FAFF6D" w14:textId="77777777" w:rsidR="00822FF7" w:rsidRDefault="00822FF7">
            <w:pPr>
              <w:spacing w:after="0" w:line="240" w:lineRule="auto"/>
              <w:rPr>
                <w:rFonts w:ascii="Cambria" w:eastAsia="Times New Roman" w:hAnsi="Cambria" w:cs="Arial"/>
                <w:bCs/>
                <w:color w:val="000000"/>
                <w:sz w:val="24"/>
                <w:szCs w:val="24"/>
              </w:rPr>
            </w:pPr>
            <w:r>
              <w:rPr>
                <w:rFonts w:ascii="Cambria" w:eastAsia="Times New Roman" w:hAnsi="Cambria" w:cs="Arial"/>
                <w:bCs/>
                <w:color w:val="000000"/>
                <w:sz w:val="24"/>
                <w:szCs w:val="24"/>
              </w:rPr>
              <w:t>Needs and Services of Child, Parents and Foster Parents</w:t>
            </w:r>
          </w:p>
        </w:tc>
        <w:tc>
          <w:tcPr>
            <w:tcW w:w="900" w:type="dxa"/>
            <w:tcBorders>
              <w:top w:val="nil"/>
              <w:left w:val="nil"/>
              <w:bottom w:val="single" w:sz="4" w:space="0" w:color="auto"/>
              <w:right w:val="single" w:sz="4" w:space="0" w:color="auto"/>
            </w:tcBorders>
            <w:shd w:val="clear" w:color="auto" w:fill="FFFFFF"/>
            <w:vAlign w:val="center"/>
          </w:tcPr>
          <w:p w14:paraId="6225CF23" w14:textId="1A1224A3" w:rsidR="00822FF7" w:rsidRDefault="0058217C">
            <w:pPr>
              <w:spacing w:after="0" w:line="240" w:lineRule="auto"/>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63</w:t>
            </w:r>
            <w:r w:rsidR="00340118">
              <w:rPr>
                <w:rFonts w:ascii="Cambria" w:eastAsia="Times New Roman" w:hAnsi="Cambria" w:cs="Arial"/>
                <w:bCs/>
                <w:color w:val="000000"/>
                <w:sz w:val="24"/>
                <w:szCs w:val="24"/>
              </w:rPr>
              <w:t>%</w:t>
            </w:r>
          </w:p>
        </w:tc>
        <w:tc>
          <w:tcPr>
            <w:tcW w:w="813" w:type="dxa"/>
            <w:tcBorders>
              <w:top w:val="nil"/>
              <w:left w:val="nil"/>
              <w:bottom w:val="single" w:sz="4" w:space="0" w:color="auto"/>
              <w:right w:val="single" w:sz="4" w:space="0" w:color="auto"/>
            </w:tcBorders>
            <w:shd w:val="clear" w:color="auto" w:fill="FFFFFF"/>
          </w:tcPr>
          <w:p w14:paraId="5F886A0C" w14:textId="45144759" w:rsidR="00822FF7" w:rsidRDefault="0058217C">
            <w:pPr>
              <w:spacing w:after="0" w:line="240" w:lineRule="auto"/>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57</w:t>
            </w:r>
            <w:r w:rsidR="00340118">
              <w:rPr>
                <w:rFonts w:ascii="Cambria" w:eastAsia="Times New Roman" w:hAnsi="Cambria" w:cs="Arial"/>
                <w:bCs/>
                <w:color w:val="000000"/>
                <w:sz w:val="24"/>
                <w:szCs w:val="24"/>
              </w:rPr>
              <w:t>%</w:t>
            </w:r>
          </w:p>
        </w:tc>
        <w:tc>
          <w:tcPr>
            <w:tcW w:w="853" w:type="dxa"/>
            <w:tcBorders>
              <w:top w:val="nil"/>
              <w:left w:val="nil"/>
              <w:bottom w:val="single" w:sz="4" w:space="0" w:color="auto"/>
              <w:right w:val="single" w:sz="4" w:space="0" w:color="auto"/>
            </w:tcBorders>
            <w:shd w:val="clear" w:color="auto" w:fill="FFFFFF"/>
            <w:vAlign w:val="center"/>
          </w:tcPr>
          <w:p w14:paraId="0F5943A0" w14:textId="19565F52" w:rsidR="00822FF7" w:rsidRDefault="00340118">
            <w:pPr>
              <w:spacing w:after="0" w:line="240" w:lineRule="auto"/>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43%</w:t>
            </w:r>
          </w:p>
        </w:tc>
      </w:tr>
      <w:tr w:rsidR="00170D9F" w14:paraId="3B3247D1" w14:textId="77777777" w:rsidTr="00F45A9D">
        <w:trPr>
          <w:trHeight w:val="300"/>
          <w:jc w:val="center"/>
        </w:trPr>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3B27E6" w14:textId="77777777" w:rsidR="00170D9F" w:rsidRDefault="00170D9F">
            <w:pPr>
              <w:spacing w:after="0" w:line="240" w:lineRule="auto"/>
              <w:rPr>
                <w:rFonts w:ascii="Cambria" w:eastAsia="Times New Roman" w:hAnsi="Cambria" w:cs="Arial"/>
                <w:i/>
                <w:iCs/>
                <w:color w:val="000000"/>
                <w:sz w:val="24"/>
                <w:szCs w:val="24"/>
              </w:rPr>
            </w:pPr>
            <w:r>
              <w:rPr>
                <w:rFonts w:ascii="Cambria" w:eastAsia="Times New Roman" w:hAnsi="Cambria" w:cs="Arial"/>
                <w:i/>
                <w:iCs/>
                <w:color w:val="000000"/>
                <w:sz w:val="24"/>
                <w:szCs w:val="24"/>
              </w:rPr>
              <w:t>Item 12A</w:t>
            </w:r>
          </w:p>
        </w:tc>
        <w:tc>
          <w:tcPr>
            <w:tcW w:w="5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7686E3" w14:textId="77777777" w:rsidR="00170D9F" w:rsidRDefault="00170D9F">
            <w:pPr>
              <w:spacing w:after="0" w:line="240" w:lineRule="auto"/>
              <w:rPr>
                <w:rFonts w:ascii="Cambria" w:eastAsia="Times New Roman" w:hAnsi="Cambria" w:cs="Arial"/>
                <w:i/>
                <w:iCs/>
                <w:color w:val="000000"/>
                <w:sz w:val="24"/>
                <w:szCs w:val="24"/>
              </w:rPr>
            </w:pPr>
            <w:r>
              <w:rPr>
                <w:rFonts w:ascii="Cambria" w:eastAsia="Times New Roman" w:hAnsi="Cambria" w:cs="Arial"/>
                <w:i/>
                <w:iCs/>
                <w:color w:val="000000"/>
                <w:sz w:val="24"/>
                <w:szCs w:val="24"/>
              </w:rPr>
              <w:t>Needs Assessment and Services to Children</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216E41" w14:textId="3601FBC5" w:rsidR="00170D9F" w:rsidRPr="00D7439C" w:rsidRDefault="0058217C">
            <w:pPr>
              <w:spacing w:after="0" w:line="240" w:lineRule="auto"/>
              <w:jc w:val="center"/>
              <w:rPr>
                <w:rFonts w:ascii="Cambria" w:eastAsia="Times New Roman" w:hAnsi="Cambria" w:cs="Arial"/>
                <w:color w:val="000000"/>
                <w:sz w:val="24"/>
                <w:szCs w:val="24"/>
              </w:rPr>
            </w:pPr>
            <w:r w:rsidRPr="00D7439C">
              <w:rPr>
                <w:rFonts w:ascii="Cambria" w:eastAsia="Times New Roman" w:hAnsi="Cambria" w:cs="Arial"/>
                <w:color w:val="000000"/>
                <w:sz w:val="24"/>
                <w:szCs w:val="24"/>
              </w:rPr>
              <w:t>93</w:t>
            </w:r>
            <w:r w:rsidR="00461FEF" w:rsidRPr="00D7439C">
              <w:rPr>
                <w:rFonts w:ascii="Cambria" w:eastAsia="Times New Roman" w:hAnsi="Cambria" w:cs="Arial"/>
                <w:color w:val="000000"/>
                <w:sz w:val="24"/>
                <w:szCs w:val="24"/>
              </w:rPr>
              <w:t>%</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tcPr>
          <w:p w14:paraId="428FB1DE" w14:textId="052497A0" w:rsidR="00170D9F" w:rsidRPr="00170D9F" w:rsidRDefault="0058217C">
            <w:pPr>
              <w:spacing w:after="0" w:line="240" w:lineRule="auto"/>
              <w:jc w:val="center"/>
              <w:rPr>
                <w:rFonts w:ascii="Cambria" w:eastAsia="Times New Roman" w:hAnsi="Cambria" w:cs="Arial"/>
                <w:i/>
                <w:iCs/>
                <w:color w:val="000000"/>
                <w:sz w:val="24"/>
                <w:szCs w:val="24"/>
              </w:rPr>
            </w:pPr>
            <w:r>
              <w:rPr>
                <w:sz w:val="24"/>
                <w:szCs w:val="24"/>
              </w:rPr>
              <w:t>84</w:t>
            </w:r>
            <w:r w:rsidR="00170D9F" w:rsidRPr="00170D9F">
              <w:rPr>
                <w:sz w:val="24"/>
                <w:szCs w:val="24"/>
              </w:rPr>
              <w:t>%</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tcPr>
          <w:p w14:paraId="1DA76DF6" w14:textId="3F8C2D47" w:rsidR="00170D9F" w:rsidRPr="00170D9F" w:rsidRDefault="00170D9F">
            <w:pPr>
              <w:spacing w:after="0" w:line="240" w:lineRule="auto"/>
              <w:jc w:val="center"/>
              <w:rPr>
                <w:rFonts w:ascii="Cambria" w:eastAsia="Times New Roman" w:hAnsi="Cambria" w:cs="Arial"/>
                <w:i/>
                <w:iCs/>
                <w:color w:val="000000"/>
                <w:sz w:val="24"/>
                <w:szCs w:val="24"/>
              </w:rPr>
            </w:pPr>
            <w:r w:rsidRPr="00170D9F">
              <w:rPr>
                <w:sz w:val="24"/>
                <w:szCs w:val="24"/>
              </w:rPr>
              <w:t>72%</w:t>
            </w:r>
          </w:p>
        </w:tc>
      </w:tr>
      <w:tr w:rsidR="00170D9F" w14:paraId="635FBBFE" w14:textId="77777777" w:rsidTr="00F45A9D">
        <w:trPr>
          <w:trHeight w:val="300"/>
          <w:jc w:val="center"/>
        </w:trPr>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9E16A" w14:textId="77777777" w:rsidR="00170D9F" w:rsidRDefault="00170D9F">
            <w:pPr>
              <w:spacing w:after="0" w:line="240" w:lineRule="auto"/>
              <w:rPr>
                <w:rFonts w:ascii="Cambria" w:eastAsia="Times New Roman" w:hAnsi="Cambria" w:cs="Arial"/>
                <w:i/>
                <w:iCs/>
                <w:color w:val="000000"/>
                <w:sz w:val="24"/>
                <w:szCs w:val="24"/>
              </w:rPr>
            </w:pPr>
            <w:r>
              <w:rPr>
                <w:rFonts w:ascii="Cambria" w:eastAsia="Times New Roman" w:hAnsi="Cambria" w:cs="Arial"/>
                <w:i/>
                <w:iCs/>
                <w:color w:val="000000"/>
                <w:sz w:val="24"/>
                <w:szCs w:val="24"/>
              </w:rPr>
              <w:t>Item 12B</w:t>
            </w:r>
          </w:p>
        </w:tc>
        <w:tc>
          <w:tcPr>
            <w:tcW w:w="5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4953BC" w14:textId="77777777" w:rsidR="00170D9F" w:rsidRDefault="00170D9F">
            <w:pPr>
              <w:spacing w:after="0" w:line="240" w:lineRule="auto"/>
              <w:rPr>
                <w:rFonts w:ascii="Cambria" w:eastAsia="Times New Roman" w:hAnsi="Cambria" w:cs="Arial"/>
                <w:i/>
                <w:iCs/>
                <w:color w:val="000000"/>
                <w:sz w:val="24"/>
                <w:szCs w:val="24"/>
              </w:rPr>
            </w:pPr>
            <w:r>
              <w:rPr>
                <w:rFonts w:ascii="Cambria" w:eastAsia="Times New Roman" w:hAnsi="Cambria" w:cs="Arial"/>
                <w:i/>
                <w:iCs/>
                <w:color w:val="000000"/>
                <w:sz w:val="24"/>
                <w:szCs w:val="24"/>
              </w:rPr>
              <w:t>Needs Assessment and Services to Parents</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1E1DEC" w14:textId="67D98D8B" w:rsidR="00170D9F" w:rsidRPr="00D7439C" w:rsidRDefault="0058217C">
            <w:pPr>
              <w:spacing w:after="0" w:line="240" w:lineRule="auto"/>
              <w:jc w:val="center"/>
              <w:rPr>
                <w:rFonts w:ascii="Cambria" w:eastAsia="Times New Roman" w:hAnsi="Cambria" w:cs="Arial"/>
                <w:color w:val="000000"/>
                <w:sz w:val="24"/>
                <w:szCs w:val="24"/>
              </w:rPr>
            </w:pPr>
            <w:r w:rsidRPr="00D7439C">
              <w:rPr>
                <w:rFonts w:ascii="Cambria" w:eastAsia="Times New Roman" w:hAnsi="Cambria" w:cs="Arial"/>
                <w:color w:val="000000"/>
                <w:sz w:val="24"/>
                <w:szCs w:val="24"/>
              </w:rPr>
              <w:t>63</w:t>
            </w:r>
            <w:r w:rsidR="00461FEF" w:rsidRPr="00D7439C">
              <w:rPr>
                <w:rFonts w:ascii="Cambria" w:eastAsia="Times New Roman" w:hAnsi="Cambria" w:cs="Arial"/>
                <w:color w:val="000000"/>
                <w:sz w:val="24"/>
                <w:szCs w:val="24"/>
              </w:rPr>
              <w:t>%</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tcPr>
          <w:p w14:paraId="656EE3A3" w14:textId="20180515" w:rsidR="00170D9F" w:rsidRPr="00170D9F" w:rsidRDefault="0058217C">
            <w:pPr>
              <w:spacing w:after="0" w:line="240" w:lineRule="auto"/>
              <w:jc w:val="center"/>
              <w:rPr>
                <w:rFonts w:ascii="Cambria" w:eastAsia="Times New Roman" w:hAnsi="Cambria" w:cs="Arial"/>
                <w:i/>
                <w:iCs/>
                <w:color w:val="000000"/>
                <w:sz w:val="24"/>
                <w:szCs w:val="24"/>
              </w:rPr>
            </w:pPr>
            <w:r>
              <w:rPr>
                <w:sz w:val="24"/>
                <w:szCs w:val="24"/>
              </w:rPr>
              <w:t>59</w:t>
            </w:r>
            <w:r w:rsidR="00170D9F" w:rsidRPr="00170D9F">
              <w:rPr>
                <w:sz w:val="24"/>
                <w:szCs w:val="24"/>
              </w:rPr>
              <w:t>%</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tcPr>
          <w:p w14:paraId="6A1FDC9F" w14:textId="63E89D81" w:rsidR="00170D9F" w:rsidRPr="00170D9F" w:rsidRDefault="00170D9F">
            <w:pPr>
              <w:spacing w:after="0" w:line="240" w:lineRule="auto"/>
              <w:jc w:val="center"/>
              <w:rPr>
                <w:rFonts w:ascii="Cambria" w:eastAsia="Times New Roman" w:hAnsi="Cambria" w:cs="Arial"/>
                <w:i/>
                <w:iCs/>
                <w:color w:val="000000"/>
                <w:sz w:val="24"/>
                <w:szCs w:val="24"/>
              </w:rPr>
            </w:pPr>
            <w:r w:rsidRPr="00170D9F">
              <w:rPr>
                <w:sz w:val="24"/>
                <w:szCs w:val="24"/>
              </w:rPr>
              <w:t>44%</w:t>
            </w:r>
          </w:p>
        </w:tc>
      </w:tr>
      <w:tr w:rsidR="00170D9F" w14:paraId="402CAF2E" w14:textId="77777777" w:rsidTr="00F45A9D">
        <w:trPr>
          <w:trHeight w:val="300"/>
          <w:jc w:val="center"/>
        </w:trPr>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BDF41" w14:textId="77777777" w:rsidR="00170D9F" w:rsidRDefault="00170D9F">
            <w:pPr>
              <w:spacing w:after="0" w:line="240" w:lineRule="auto"/>
              <w:rPr>
                <w:rFonts w:ascii="Cambria" w:eastAsia="Times New Roman" w:hAnsi="Cambria" w:cs="Arial"/>
                <w:i/>
                <w:iCs/>
                <w:color w:val="000000"/>
                <w:sz w:val="24"/>
                <w:szCs w:val="24"/>
              </w:rPr>
            </w:pPr>
            <w:r>
              <w:rPr>
                <w:rFonts w:ascii="Cambria" w:eastAsia="Times New Roman" w:hAnsi="Cambria" w:cs="Arial"/>
                <w:i/>
                <w:iCs/>
                <w:color w:val="000000"/>
                <w:sz w:val="24"/>
                <w:szCs w:val="24"/>
              </w:rPr>
              <w:t>Item 12C</w:t>
            </w:r>
          </w:p>
        </w:tc>
        <w:tc>
          <w:tcPr>
            <w:tcW w:w="5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70B49A" w14:textId="77777777" w:rsidR="00170D9F" w:rsidRDefault="00170D9F">
            <w:pPr>
              <w:spacing w:after="0" w:line="240" w:lineRule="auto"/>
              <w:rPr>
                <w:rFonts w:ascii="Cambria" w:eastAsia="Times New Roman" w:hAnsi="Cambria" w:cs="Arial"/>
                <w:i/>
                <w:iCs/>
                <w:color w:val="000000"/>
                <w:sz w:val="24"/>
                <w:szCs w:val="24"/>
              </w:rPr>
            </w:pPr>
            <w:r>
              <w:rPr>
                <w:rFonts w:ascii="Cambria" w:eastAsia="Times New Roman" w:hAnsi="Cambria" w:cs="Arial"/>
                <w:i/>
                <w:iCs/>
                <w:color w:val="000000"/>
                <w:sz w:val="24"/>
                <w:szCs w:val="24"/>
              </w:rPr>
              <w:t>Needs Assessment and Services to Foster Parents</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CD58AE" w14:textId="5487CC92" w:rsidR="00170D9F" w:rsidRPr="00D7439C" w:rsidRDefault="0058217C">
            <w:pPr>
              <w:spacing w:after="0" w:line="240" w:lineRule="auto"/>
              <w:jc w:val="center"/>
              <w:rPr>
                <w:rFonts w:ascii="Cambria" w:eastAsia="Times New Roman" w:hAnsi="Cambria" w:cs="Arial"/>
                <w:color w:val="000000"/>
                <w:sz w:val="24"/>
                <w:szCs w:val="24"/>
              </w:rPr>
            </w:pPr>
            <w:r w:rsidRPr="00D7439C">
              <w:rPr>
                <w:rFonts w:ascii="Cambria" w:eastAsia="Times New Roman" w:hAnsi="Cambria" w:cs="Arial"/>
                <w:color w:val="000000"/>
                <w:sz w:val="24"/>
                <w:szCs w:val="24"/>
              </w:rPr>
              <w:t>9</w:t>
            </w:r>
            <w:r w:rsidR="00461FEF" w:rsidRPr="00D7439C">
              <w:rPr>
                <w:rFonts w:ascii="Cambria" w:eastAsia="Times New Roman" w:hAnsi="Cambria" w:cs="Arial"/>
                <w:color w:val="000000"/>
                <w:sz w:val="24"/>
                <w:szCs w:val="24"/>
              </w:rPr>
              <w:t>2%</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tcPr>
          <w:p w14:paraId="0ACFD1CC" w14:textId="78BFE3FD" w:rsidR="00170D9F" w:rsidRPr="00170D9F" w:rsidRDefault="0058217C">
            <w:pPr>
              <w:spacing w:after="0" w:line="240" w:lineRule="auto"/>
              <w:jc w:val="center"/>
              <w:rPr>
                <w:rFonts w:ascii="Cambria" w:eastAsia="Times New Roman" w:hAnsi="Cambria" w:cs="Arial"/>
                <w:i/>
                <w:iCs/>
                <w:color w:val="000000"/>
                <w:sz w:val="24"/>
                <w:szCs w:val="24"/>
              </w:rPr>
            </w:pPr>
            <w:r>
              <w:rPr>
                <w:sz w:val="24"/>
                <w:szCs w:val="24"/>
              </w:rPr>
              <w:t>8</w:t>
            </w:r>
            <w:r w:rsidR="00170D9F" w:rsidRPr="00170D9F">
              <w:rPr>
                <w:sz w:val="24"/>
                <w:szCs w:val="24"/>
              </w:rPr>
              <w:t>2%</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tcPr>
          <w:p w14:paraId="61B036A1" w14:textId="11C211D1" w:rsidR="00170D9F" w:rsidRPr="00170D9F" w:rsidRDefault="00170D9F">
            <w:pPr>
              <w:spacing w:after="0" w:line="240" w:lineRule="auto"/>
              <w:jc w:val="center"/>
              <w:rPr>
                <w:rFonts w:ascii="Cambria" w:eastAsia="Times New Roman" w:hAnsi="Cambria" w:cs="Arial"/>
                <w:i/>
                <w:iCs/>
                <w:color w:val="000000"/>
                <w:sz w:val="24"/>
                <w:szCs w:val="24"/>
              </w:rPr>
            </w:pPr>
            <w:r w:rsidRPr="00170D9F">
              <w:rPr>
                <w:sz w:val="24"/>
                <w:szCs w:val="24"/>
              </w:rPr>
              <w:t>89%</w:t>
            </w:r>
          </w:p>
        </w:tc>
      </w:tr>
    </w:tbl>
    <w:p w14:paraId="45378359" w14:textId="77777777" w:rsidR="0016433C" w:rsidRPr="00D422C5" w:rsidRDefault="0016433C" w:rsidP="00D422C5">
      <w:pPr>
        <w:spacing w:after="0" w:line="240" w:lineRule="auto"/>
        <w:ind w:left="360"/>
        <w:jc w:val="both"/>
        <w:rPr>
          <w:rFonts w:ascii="Cambria" w:hAnsi="Cambria"/>
          <w:sz w:val="24"/>
          <w:szCs w:val="24"/>
        </w:rPr>
      </w:pPr>
    </w:p>
    <w:p w14:paraId="134E90FD" w14:textId="77777777" w:rsidR="00D422C5" w:rsidRDefault="00D422C5" w:rsidP="00D422C5">
      <w:pPr>
        <w:spacing w:after="0" w:line="240" w:lineRule="auto"/>
        <w:ind w:left="360"/>
        <w:jc w:val="both"/>
        <w:rPr>
          <w:rFonts w:ascii="Cambria" w:hAnsi="Cambria"/>
          <w:sz w:val="24"/>
          <w:szCs w:val="24"/>
        </w:rPr>
      </w:pPr>
    </w:p>
    <w:p w14:paraId="21922DD7" w14:textId="38B1FB38" w:rsidR="00B62B39" w:rsidRDefault="00C64FC7" w:rsidP="00113407">
      <w:pPr>
        <w:spacing w:after="0" w:line="240" w:lineRule="auto"/>
        <w:ind w:left="360"/>
        <w:jc w:val="both"/>
        <w:rPr>
          <w:rFonts w:ascii="Cambria" w:hAnsi="Cambria" w:cs="Arial"/>
          <w:sz w:val="24"/>
          <w:szCs w:val="24"/>
        </w:rPr>
      </w:pPr>
      <w:r w:rsidRPr="00C64FC7">
        <w:rPr>
          <w:rFonts w:ascii="Cambria" w:hAnsi="Cambria" w:cs="Arial"/>
          <w:sz w:val="24"/>
          <w:szCs w:val="24"/>
        </w:rPr>
        <w:t xml:space="preserve">While </w:t>
      </w:r>
      <w:r>
        <w:rPr>
          <w:rFonts w:ascii="Cambria" w:hAnsi="Cambria" w:cs="Arial"/>
          <w:sz w:val="24"/>
          <w:szCs w:val="24"/>
        </w:rPr>
        <w:t>all service areas were</w:t>
      </w:r>
      <w:r w:rsidR="000B7646">
        <w:rPr>
          <w:rFonts w:ascii="Cambria" w:hAnsi="Cambria" w:cs="Arial"/>
          <w:sz w:val="24"/>
          <w:szCs w:val="24"/>
        </w:rPr>
        <w:t xml:space="preserve"> </w:t>
      </w:r>
      <w:r w:rsidR="00741AD2">
        <w:rPr>
          <w:rFonts w:ascii="Cambria" w:hAnsi="Cambria" w:cs="Arial"/>
          <w:sz w:val="24"/>
          <w:szCs w:val="24"/>
        </w:rPr>
        <w:t xml:space="preserve">found to be </w:t>
      </w:r>
      <w:r w:rsidRPr="00C64FC7">
        <w:rPr>
          <w:rFonts w:ascii="Cambria" w:hAnsi="Cambria" w:cs="Arial"/>
          <w:sz w:val="24"/>
          <w:szCs w:val="24"/>
        </w:rPr>
        <w:t xml:space="preserve">successful </w:t>
      </w:r>
      <w:r w:rsidR="00D87A05">
        <w:rPr>
          <w:rFonts w:ascii="Cambria" w:hAnsi="Cambria" w:cs="Arial"/>
          <w:sz w:val="24"/>
          <w:szCs w:val="24"/>
        </w:rPr>
        <w:t xml:space="preserve">in </w:t>
      </w:r>
      <w:r>
        <w:rPr>
          <w:rFonts w:ascii="Cambria" w:hAnsi="Cambria" w:cs="Arial"/>
          <w:sz w:val="24"/>
          <w:szCs w:val="24"/>
        </w:rPr>
        <w:t>meeting</w:t>
      </w:r>
      <w:r w:rsidRPr="00C64FC7">
        <w:rPr>
          <w:rFonts w:ascii="Cambria" w:hAnsi="Cambria" w:cs="Arial"/>
          <w:sz w:val="24"/>
          <w:szCs w:val="24"/>
        </w:rPr>
        <w:t xml:space="preserve"> the needs of children and foster parents </w:t>
      </w:r>
      <w:r>
        <w:rPr>
          <w:rFonts w:ascii="Cambria" w:hAnsi="Cambria" w:cs="Arial"/>
          <w:sz w:val="24"/>
          <w:szCs w:val="24"/>
        </w:rPr>
        <w:t xml:space="preserve">during </w:t>
      </w:r>
      <w:r w:rsidR="00741AD2">
        <w:rPr>
          <w:rFonts w:ascii="Cambria" w:hAnsi="Cambria" w:cs="Arial"/>
          <w:sz w:val="24"/>
          <w:szCs w:val="24"/>
        </w:rPr>
        <w:t xml:space="preserve">the </w:t>
      </w:r>
      <w:r>
        <w:rPr>
          <w:rFonts w:ascii="Cambria" w:hAnsi="Cambria" w:cs="Arial"/>
          <w:sz w:val="24"/>
          <w:szCs w:val="24"/>
        </w:rPr>
        <w:t>SFY 201</w:t>
      </w:r>
      <w:r w:rsidR="00DF4763">
        <w:rPr>
          <w:rFonts w:ascii="Cambria" w:hAnsi="Cambria" w:cs="Arial"/>
          <w:sz w:val="24"/>
          <w:szCs w:val="24"/>
        </w:rPr>
        <w:t>9</w:t>
      </w:r>
      <w:r w:rsidR="00741AD2">
        <w:rPr>
          <w:rFonts w:ascii="Cambria" w:hAnsi="Cambria" w:cs="Arial"/>
          <w:sz w:val="24"/>
          <w:szCs w:val="24"/>
        </w:rPr>
        <w:t xml:space="preserve"> QSPR</w:t>
      </w:r>
      <w:r w:rsidRPr="00C64FC7">
        <w:rPr>
          <w:rFonts w:ascii="Cambria" w:hAnsi="Cambria" w:cs="Arial"/>
          <w:sz w:val="24"/>
          <w:szCs w:val="24"/>
        </w:rPr>
        <w:t xml:space="preserve">, </w:t>
      </w:r>
      <w:r>
        <w:rPr>
          <w:rFonts w:ascii="Cambria" w:hAnsi="Cambria" w:cs="Arial"/>
          <w:sz w:val="24"/>
          <w:szCs w:val="24"/>
        </w:rPr>
        <w:t xml:space="preserve">the </w:t>
      </w:r>
      <w:r w:rsidR="00C065EA">
        <w:rPr>
          <w:rFonts w:ascii="Cambria" w:hAnsi="Cambria" w:cs="Arial"/>
          <w:sz w:val="24"/>
          <w:szCs w:val="24"/>
        </w:rPr>
        <w:t>main</w:t>
      </w:r>
      <w:r>
        <w:rPr>
          <w:rFonts w:ascii="Cambria" w:hAnsi="Cambria" w:cs="Arial"/>
          <w:sz w:val="24"/>
          <w:szCs w:val="24"/>
        </w:rPr>
        <w:t xml:space="preserve"> </w:t>
      </w:r>
      <w:r w:rsidR="00C065EA">
        <w:rPr>
          <w:rFonts w:ascii="Cambria" w:hAnsi="Cambria" w:cs="Arial"/>
          <w:sz w:val="24"/>
          <w:szCs w:val="24"/>
        </w:rPr>
        <w:t xml:space="preserve">issue for every </w:t>
      </w:r>
      <w:r w:rsidR="000B7646">
        <w:rPr>
          <w:rFonts w:ascii="Cambria" w:hAnsi="Cambria" w:cs="Arial"/>
          <w:sz w:val="24"/>
          <w:szCs w:val="24"/>
        </w:rPr>
        <w:t>A</w:t>
      </w:r>
      <w:r w:rsidR="00C065EA">
        <w:rPr>
          <w:rFonts w:ascii="Cambria" w:hAnsi="Cambria" w:cs="Arial"/>
          <w:sz w:val="24"/>
          <w:szCs w:val="24"/>
        </w:rPr>
        <w:t>rea</w:t>
      </w:r>
      <w:r>
        <w:rPr>
          <w:rFonts w:ascii="Cambria" w:hAnsi="Cambria" w:cs="Arial"/>
          <w:sz w:val="24"/>
          <w:szCs w:val="24"/>
        </w:rPr>
        <w:t xml:space="preserve"> was in</w:t>
      </w:r>
      <w:r w:rsidRPr="00C64FC7">
        <w:rPr>
          <w:rFonts w:ascii="Cambria" w:hAnsi="Cambria" w:cs="Arial"/>
          <w:sz w:val="24"/>
          <w:szCs w:val="24"/>
        </w:rPr>
        <w:t xml:space="preserve"> not properly </w:t>
      </w:r>
      <w:r w:rsidR="00C065EA">
        <w:rPr>
          <w:rFonts w:ascii="Cambria" w:hAnsi="Cambria" w:cs="Arial"/>
          <w:sz w:val="24"/>
          <w:szCs w:val="24"/>
        </w:rPr>
        <w:t>addressing parents’ needs</w:t>
      </w:r>
      <w:r>
        <w:rPr>
          <w:rFonts w:ascii="Cambria" w:hAnsi="Cambria" w:cs="Arial"/>
          <w:sz w:val="24"/>
          <w:szCs w:val="24"/>
        </w:rPr>
        <w:t>. T</w:t>
      </w:r>
      <w:r w:rsidR="00113407" w:rsidRPr="00113407">
        <w:rPr>
          <w:rFonts w:ascii="Cambria" w:hAnsi="Cambria" w:cs="Arial"/>
          <w:sz w:val="24"/>
          <w:szCs w:val="24"/>
        </w:rPr>
        <w:t xml:space="preserve">he primary reason for deficiencies in the assessment and provision of appropriate services to </w:t>
      </w:r>
      <w:r w:rsidR="00C065EA">
        <w:rPr>
          <w:rFonts w:ascii="Cambria" w:hAnsi="Cambria" w:cs="Arial"/>
          <w:sz w:val="24"/>
          <w:szCs w:val="24"/>
        </w:rPr>
        <w:t>parents</w:t>
      </w:r>
      <w:r w:rsidR="00113407" w:rsidRPr="00113407">
        <w:rPr>
          <w:rFonts w:ascii="Cambria" w:hAnsi="Cambria" w:cs="Arial"/>
          <w:sz w:val="24"/>
          <w:szCs w:val="24"/>
        </w:rPr>
        <w:t xml:space="preserve"> was the same in every service area: the lack of ongoing contact with parents </w:t>
      </w:r>
      <w:r w:rsidR="00B62B39">
        <w:rPr>
          <w:rFonts w:ascii="Cambria" w:hAnsi="Cambria" w:cs="Arial"/>
          <w:sz w:val="24"/>
          <w:szCs w:val="24"/>
        </w:rPr>
        <w:t xml:space="preserve">which </w:t>
      </w:r>
      <w:r w:rsidR="00113407" w:rsidRPr="00113407">
        <w:rPr>
          <w:rFonts w:ascii="Cambria" w:hAnsi="Cambria" w:cs="Arial"/>
          <w:sz w:val="24"/>
          <w:szCs w:val="24"/>
        </w:rPr>
        <w:t xml:space="preserve">prevented staff from conducting proper ongoing, informal </w:t>
      </w:r>
      <w:r w:rsidR="00C065EA">
        <w:rPr>
          <w:rFonts w:ascii="Cambria" w:hAnsi="Cambria" w:cs="Arial"/>
          <w:sz w:val="24"/>
          <w:szCs w:val="24"/>
        </w:rPr>
        <w:t xml:space="preserve">needs </w:t>
      </w:r>
      <w:r w:rsidR="00113407" w:rsidRPr="00113407">
        <w:rPr>
          <w:rFonts w:ascii="Cambria" w:hAnsi="Cambria" w:cs="Arial"/>
          <w:sz w:val="24"/>
          <w:szCs w:val="24"/>
        </w:rPr>
        <w:t xml:space="preserve">assessments. </w:t>
      </w:r>
      <w:r w:rsidR="00B62B39" w:rsidRPr="00113407">
        <w:rPr>
          <w:rFonts w:ascii="Cambria" w:hAnsi="Cambria" w:cs="Arial"/>
          <w:sz w:val="24"/>
          <w:szCs w:val="24"/>
        </w:rPr>
        <w:t>Several staff also noted practice issues involved in the transfer of cases of all types from the investigation unit to the casework un</w:t>
      </w:r>
      <w:r w:rsidR="00B84E39">
        <w:rPr>
          <w:rFonts w:ascii="Cambria" w:hAnsi="Cambria" w:cs="Arial"/>
          <w:sz w:val="24"/>
          <w:szCs w:val="24"/>
        </w:rPr>
        <w:t>it, often with regard to</w:t>
      </w:r>
      <w:r w:rsidR="000F1ABD">
        <w:rPr>
          <w:rFonts w:ascii="Cambria" w:hAnsi="Cambria" w:cs="Arial"/>
          <w:sz w:val="24"/>
          <w:szCs w:val="24"/>
        </w:rPr>
        <w:t xml:space="preserve"> the status of any referrals made or basis for services recommended during the investigation phase.</w:t>
      </w:r>
      <w:r w:rsidR="00B62B39" w:rsidRPr="00113407">
        <w:rPr>
          <w:rFonts w:ascii="Cambria" w:hAnsi="Cambria" w:cs="Arial"/>
          <w:sz w:val="24"/>
          <w:szCs w:val="24"/>
        </w:rPr>
        <w:t xml:space="preserve"> </w:t>
      </w:r>
    </w:p>
    <w:p w14:paraId="19E2210B" w14:textId="77777777" w:rsidR="00B62B39" w:rsidRDefault="00B62B39" w:rsidP="00584816">
      <w:pPr>
        <w:spacing w:after="0" w:line="240" w:lineRule="auto"/>
        <w:jc w:val="both"/>
        <w:rPr>
          <w:rFonts w:ascii="Cambria" w:hAnsi="Cambria" w:cs="Arial"/>
          <w:sz w:val="24"/>
          <w:szCs w:val="24"/>
        </w:rPr>
      </w:pPr>
    </w:p>
    <w:p w14:paraId="4DB1AD56" w14:textId="20B3A7B5" w:rsidR="004B08D1" w:rsidRDefault="00113407" w:rsidP="004B08D1">
      <w:pPr>
        <w:spacing w:after="0" w:line="240" w:lineRule="auto"/>
        <w:ind w:left="360"/>
        <w:jc w:val="both"/>
        <w:rPr>
          <w:rFonts w:ascii="Cambria" w:hAnsi="Cambria" w:cs="Arial"/>
          <w:sz w:val="24"/>
          <w:szCs w:val="24"/>
        </w:rPr>
      </w:pPr>
      <w:r w:rsidRPr="00113407">
        <w:rPr>
          <w:rFonts w:ascii="Cambria" w:hAnsi="Cambria" w:cs="Arial"/>
          <w:sz w:val="24"/>
          <w:szCs w:val="24"/>
        </w:rPr>
        <w:t>No service area attained substantial conformity.  Area</w:t>
      </w:r>
      <w:r w:rsidR="00EB6BBF">
        <w:rPr>
          <w:rFonts w:ascii="Cambria" w:hAnsi="Cambria" w:cs="Arial"/>
          <w:sz w:val="24"/>
          <w:szCs w:val="24"/>
        </w:rPr>
        <w:t xml:space="preserve">s 1 </w:t>
      </w:r>
      <w:r w:rsidR="007D1F65">
        <w:rPr>
          <w:rFonts w:ascii="Cambria" w:hAnsi="Cambria" w:cs="Arial"/>
          <w:sz w:val="24"/>
          <w:szCs w:val="24"/>
        </w:rPr>
        <w:t>and 10</w:t>
      </w:r>
      <w:r w:rsidRPr="00113407">
        <w:rPr>
          <w:rFonts w:ascii="Cambria" w:hAnsi="Cambria" w:cs="Arial"/>
          <w:sz w:val="24"/>
          <w:szCs w:val="24"/>
        </w:rPr>
        <w:t xml:space="preserve"> struggled </w:t>
      </w:r>
      <w:r w:rsidR="00D66FE8">
        <w:rPr>
          <w:rFonts w:ascii="Cambria" w:hAnsi="Cambria" w:cs="Arial"/>
          <w:sz w:val="24"/>
          <w:szCs w:val="24"/>
        </w:rPr>
        <w:t xml:space="preserve">the </w:t>
      </w:r>
      <w:r w:rsidRPr="00113407">
        <w:rPr>
          <w:rFonts w:ascii="Cambria" w:hAnsi="Cambria" w:cs="Arial"/>
          <w:sz w:val="24"/>
          <w:szCs w:val="24"/>
        </w:rPr>
        <w:t xml:space="preserve">most with assessing need and providing fitting services by failing to meet standards in </w:t>
      </w:r>
      <w:r w:rsidR="007D1F65">
        <w:rPr>
          <w:rFonts w:ascii="Cambria" w:hAnsi="Cambria" w:cs="Arial"/>
          <w:sz w:val="24"/>
          <w:szCs w:val="24"/>
        </w:rPr>
        <w:t>5</w:t>
      </w:r>
      <w:r w:rsidRPr="00113407">
        <w:rPr>
          <w:rFonts w:ascii="Cambria" w:hAnsi="Cambria" w:cs="Arial"/>
          <w:sz w:val="24"/>
          <w:szCs w:val="24"/>
        </w:rPr>
        <w:t>0</w:t>
      </w:r>
      <w:r w:rsidR="007D1F65">
        <w:rPr>
          <w:rFonts w:ascii="Cambria" w:hAnsi="Cambria" w:cs="Arial"/>
          <w:sz w:val="24"/>
          <w:szCs w:val="24"/>
        </w:rPr>
        <w:t xml:space="preserve"> and 45</w:t>
      </w:r>
      <w:r w:rsidRPr="00113407">
        <w:rPr>
          <w:rFonts w:ascii="Cambria" w:hAnsi="Cambria" w:cs="Arial"/>
          <w:sz w:val="24"/>
          <w:szCs w:val="24"/>
        </w:rPr>
        <w:t xml:space="preserve"> percent of the reviewed cases,</w:t>
      </w:r>
      <w:r w:rsidR="007D1F65">
        <w:rPr>
          <w:rFonts w:ascii="Cambria" w:hAnsi="Cambria" w:cs="Arial"/>
          <w:sz w:val="24"/>
          <w:szCs w:val="24"/>
        </w:rPr>
        <w:t xml:space="preserve"> respectively</w:t>
      </w:r>
      <w:r w:rsidR="00085FDB">
        <w:rPr>
          <w:rFonts w:ascii="Cambria" w:hAnsi="Cambria" w:cs="Arial"/>
          <w:sz w:val="24"/>
          <w:szCs w:val="24"/>
        </w:rPr>
        <w:t xml:space="preserve">, and both decreasing </w:t>
      </w:r>
      <w:r w:rsidR="00D66FE8">
        <w:rPr>
          <w:rFonts w:ascii="Cambria" w:hAnsi="Cambria" w:cs="Arial"/>
          <w:sz w:val="24"/>
          <w:szCs w:val="24"/>
        </w:rPr>
        <w:t xml:space="preserve">their performance by </w:t>
      </w:r>
      <w:r w:rsidR="00085FDB">
        <w:rPr>
          <w:rFonts w:ascii="Cambria" w:hAnsi="Cambria" w:cs="Arial"/>
          <w:sz w:val="24"/>
          <w:szCs w:val="24"/>
        </w:rPr>
        <w:t xml:space="preserve">5 percentage points from SFY 2018. </w:t>
      </w:r>
      <w:r w:rsidR="004907C7">
        <w:rPr>
          <w:rFonts w:ascii="Cambria" w:hAnsi="Cambria" w:cs="Arial"/>
          <w:sz w:val="24"/>
          <w:szCs w:val="24"/>
        </w:rPr>
        <w:t xml:space="preserve">In one </w:t>
      </w:r>
      <w:r w:rsidR="00D66FE8">
        <w:rPr>
          <w:rFonts w:ascii="Cambria" w:hAnsi="Cambria" w:cs="Arial"/>
          <w:sz w:val="24"/>
          <w:szCs w:val="24"/>
        </w:rPr>
        <w:t xml:space="preserve">Area 1 </w:t>
      </w:r>
      <w:r w:rsidR="004907C7">
        <w:rPr>
          <w:rFonts w:ascii="Cambria" w:hAnsi="Cambria" w:cs="Arial"/>
          <w:sz w:val="24"/>
          <w:szCs w:val="24"/>
        </w:rPr>
        <w:t xml:space="preserve">foster care case </w:t>
      </w:r>
      <w:r w:rsidR="00D66FE8">
        <w:rPr>
          <w:rFonts w:ascii="Cambria" w:hAnsi="Cambria" w:cs="Arial"/>
          <w:sz w:val="24"/>
          <w:szCs w:val="24"/>
        </w:rPr>
        <w:t>the</w:t>
      </w:r>
      <w:r w:rsidR="004907C7">
        <w:rPr>
          <w:rFonts w:ascii="Cambria" w:hAnsi="Cambria" w:cs="Arial"/>
          <w:sz w:val="24"/>
          <w:szCs w:val="24"/>
        </w:rPr>
        <w:t xml:space="preserve"> deficiency was due to </w:t>
      </w:r>
      <w:r w:rsidR="008712F5">
        <w:rPr>
          <w:rFonts w:ascii="Cambria" w:hAnsi="Cambria" w:cs="Arial"/>
          <w:sz w:val="24"/>
          <w:szCs w:val="24"/>
        </w:rPr>
        <w:t>a lack of contact with an incarcerated mother</w:t>
      </w:r>
      <w:r w:rsidR="00D66FE8">
        <w:rPr>
          <w:rFonts w:ascii="Cambria" w:hAnsi="Cambria" w:cs="Arial"/>
          <w:sz w:val="24"/>
          <w:szCs w:val="24"/>
        </w:rPr>
        <w:t>;</w:t>
      </w:r>
      <w:r w:rsidR="008712F5">
        <w:rPr>
          <w:rFonts w:ascii="Cambria" w:hAnsi="Cambria" w:cs="Arial"/>
          <w:sz w:val="24"/>
          <w:szCs w:val="24"/>
        </w:rPr>
        <w:t xml:space="preserve"> </w:t>
      </w:r>
      <w:r w:rsidR="00D71E59">
        <w:rPr>
          <w:rFonts w:ascii="Cambria" w:hAnsi="Cambria" w:cs="Arial"/>
          <w:sz w:val="24"/>
          <w:szCs w:val="24"/>
        </w:rPr>
        <w:t>her needs were never assessed</w:t>
      </w:r>
      <w:r w:rsidR="003571F6">
        <w:rPr>
          <w:rFonts w:ascii="Cambria" w:hAnsi="Cambria" w:cs="Arial"/>
          <w:sz w:val="24"/>
          <w:szCs w:val="24"/>
        </w:rPr>
        <w:t xml:space="preserve">. </w:t>
      </w:r>
      <w:r w:rsidR="0030447A" w:rsidRPr="0030447A">
        <w:rPr>
          <w:rFonts w:ascii="Cambria" w:hAnsi="Cambria" w:cs="Arial"/>
          <w:sz w:val="24"/>
          <w:szCs w:val="24"/>
        </w:rPr>
        <w:t xml:space="preserve">This </w:t>
      </w:r>
      <w:r w:rsidR="00D66FE8">
        <w:rPr>
          <w:rFonts w:ascii="Cambria" w:hAnsi="Cambria" w:cs="Arial"/>
          <w:sz w:val="24"/>
          <w:szCs w:val="24"/>
        </w:rPr>
        <w:t>represents</w:t>
      </w:r>
      <w:r w:rsidR="00D66FE8" w:rsidRPr="0030447A">
        <w:rPr>
          <w:rFonts w:ascii="Cambria" w:hAnsi="Cambria" w:cs="Arial"/>
          <w:sz w:val="24"/>
          <w:szCs w:val="24"/>
        </w:rPr>
        <w:t xml:space="preserve"> </w:t>
      </w:r>
      <w:r w:rsidR="0030447A" w:rsidRPr="0030447A">
        <w:rPr>
          <w:rFonts w:ascii="Cambria" w:hAnsi="Cambria" w:cs="Arial"/>
          <w:sz w:val="24"/>
          <w:szCs w:val="24"/>
        </w:rPr>
        <w:t xml:space="preserve">a systemic issue in that the Agency seems to wait for </w:t>
      </w:r>
      <w:r w:rsidR="00D66FE8">
        <w:rPr>
          <w:rFonts w:ascii="Cambria" w:hAnsi="Cambria" w:cs="Arial"/>
          <w:sz w:val="24"/>
          <w:szCs w:val="24"/>
        </w:rPr>
        <w:t>a</w:t>
      </w:r>
      <w:r w:rsidR="00D66FE8" w:rsidRPr="0030447A">
        <w:rPr>
          <w:rFonts w:ascii="Cambria" w:hAnsi="Cambria" w:cs="Arial"/>
          <w:sz w:val="24"/>
          <w:szCs w:val="24"/>
        </w:rPr>
        <w:t xml:space="preserve"> </w:t>
      </w:r>
      <w:r w:rsidR="0030447A" w:rsidRPr="0030447A">
        <w:rPr>
          <w:rFonts w:ascii="Cambria" w:hAnsi="Cambria" w:cs="Arial"/>
          <w:sz w:val="24"/>
          <w:szCs w:val="24"/>
        </w:rPr>
        <w:t xml:space="preserve">parent to be released and contact the worker to start services as opposed to the Agency being proactive and discussing needs/services prior to a parent’s release.  </w:t>
      </w:r>
      <w:r w:rsidR="004B08D1">
        <w:rPr>
          <w:rFonts w:ascii="Cambria" w:hAnsi="Cambria" w:cs="Arial"/>
          <w:sz w:val="24"/>
          <w:szCs w:val="24"/>
        </w:rPr>
        <w:t xml:space="preserve">Deficiencies </w:t>
      </w:r>
      <w:r w:rsidR="004B08D1">
        <w:rPr>
          <w:rFonts w:ascii="Cambria" w:hAnsi="Cambria"/>
          <w:sz w:val="24"/>
          <w:szCs w:val="24"/>
        </w:rPr>
        <w:t xml:space="preserve">in service provisions to biological parents (Item 12B) </w:t>
      </w:r>
      <w:r w:rsidR="004B08D1">
        <w:rPr>
          <w:rFonts w:ascii="Cambria" w:hAnsi="Cambria" w:cs="Arial"/>
          <w:sz w:val="24"/>
          <w:szCs w:val="24"/>
        </w:rPr>
        <w:t>in Area 10 stemmed from</w:t>
      </w:r>
      <w:r w:rsidR="004B08D1">
        <w:rPr>
          <w:rFonts w:ascii="Cambria" w:hAnsi="Cambria"/>
          <w:sz w:val="24"/>
          <w:szCs w:val="24"/>
        </w:rPr>
        <w:t xml:space="preserve"> insufficient assessments of mothers, failing to ensure parents engaged in the referred services and inaccurate assessment of needs resulting in inappropriate services being provided. </w:t>
      </w:r>
    </w:p>
    <w:p w14:paraId="3E5E83C4" w14:textId="34538F0A" w:rsidR="00113407" w:rsidRPr="00113407" w:rsidRDefault="00113407" w:rsidP="00113407">
      <w:pPr>
        <w:spacing w:after="0" w:line="240" w:lineRule="auto"/>
        <w:ind w:left="360"/>
        <w:jc w:val="both"/>
        <w:rPr>
          <w:rFonts w:ascii="Cambria" w:hAnsi="Cambria" w:cs="Arial"/>
          <w:sz w:val="24"/>
          <w:szCs w:val="24"/>
        </w:rPr>
      </w:pPr>
    </w:p>
    <w:p w14:paraId="09AED495" w14:textId="77777777" w:rsidR="00822FF7" w:rsidRDefault="00822FF7" w:rsidP="00822FF7">
      <w:pPr>
        <w:spacing w:after="0" w:line="240" w:lineRule="auto"/>
        <w:jc w:val="both"/>
        <w:rPr>
          <w:rFonts w:ascii="Cambria" w:hAnsi="Cambria"/>
          <w:smallCaps/>
          <w:sz w:val="24"/>
          <w:szCs w:val="24"/>
        </w:rPr>
      </w:pPr>
    </w:p>
    <w:p w14:paraId="305647FD" w14:textId="3F72D5EE" w:rsidR="00822FF7" w:rsidRPr="00DD6DC5" w:rsidRDefault="00822FF7" w:rsidP="00DD6DC5">
      <w:pPr>
        <w:numPr>
          <w:ilvl w:val="0"/>
          <w:numId w:val="11"/>
        </w:numPr>
        <w:spacing w:after="0" w:line="240" w:lineRule="auto"/>
        <w:jc w:val="both"/>
        <w:rPr>
          <w:rFonts w:ascii="Cambria" w:hAnsi="Cambria" w:cs="Arial"/>
          <w:sz w:val="24"/>
          <w:szCs w:val="24"/>
        </w:rPr>
      </w:pPr>
      <w:r>
        <w:rPr>
          <w:rFonts w:ascii="Cambria" w:hAnsi="Cambria" w:cs="Arial"/>
          <w:b/>
          <w:sz w:val="24"/>
          <w:szCs w:val="24"/>
        </w:rPr>
        <w:t>Child and Family Involvement in Case Planning</w:t>
      </w:r>
      <w:r>
        <w:rPr>
          <w:rFonts w:ascii="Cambria" w:hAnsi="Cambria"/>
          <w:sz w:val="24"/>
          <w:szCs w:val="24"/>
        </w:rPr>
        <w:t xml:space="preserve"> –</w:t>
      </w:r>
      <w:r>
        <w:rPr>
          <w:rFonts w:ascii="Cambria" w:hAnsi="Cambria" w:cs="Arial"/>
          <w:sz w:val="24"/>
          <w:szCs w:val="24"/>
        </w:rPr>
        <w:t xml:space="preserve"> </w:t>
      </w:r>
      <w:r w:rsidR="00413FB8" w:rsidRPr="00413FB8">
        <w:rPr>
          <w:rFonts w:ascii="Cambria" w:hAnsi="Cambria" w:cs="Arial"/>
          <w:sz w:val="24"/>
          <w:szCs w:val="24"/>
        </w:rPr>
        <w:t xml:space="preserve">Engaging families in the case planning process is important to appropriately addressing the needs of parents and children. </w:t>
      </w:r>
      <w:r w:rsidR="00C065EA" w:rsidRPr="00C065EA">
        <w:rPr>
          <w:rFonts w:asciiTheme="majorHAnsi" w:hAnsiTheme="majorHAnsi" w:cs="Arial"/>
          <w:sz w:val="24"/>
          <w:szCs w:val="24"/>
        </w:rPr>
        <w:t xml:space="preserve">Children and/or their parents were </w:t>
      </w:r>
      <w:r w:rsidR="00D66FE8">
        <w:rPr>
          <w:rFonts w:asciiTheme="majorHAnsi" w:hAnsiTheme="majorHAnsi" w:cs="Arial"/>
          <w:sz w:val="24"/>
          <w:szCs w:val="24"/>
        </w:rPr>
        <w:t xml:space="preserve">identified as being </w:t>
      </w:r>
      <w:r w:rsidR="00C065EA" w:rsidRPr="00C065EA">
        <w:rPr>
          <w:rFonts w:asciiTheme="majorHAnsi" w:hAnsiTheme="majorHAnsi" w:cs="Arial"/>
          <w:sz w:val="24"/>
          <w:szCs w:val="24"/>
        </w:rPr>
        <w:t>excluded from the case planning process</w:t>
      </w:r>
      <w:r w:rsidR="002E152F">
        <w:rPr>
          <w:rFonts w:asciiTheme="majorHAnsi" w:hAnsiTheme="majorHAnsi" w:cs="Arial"/>
          <w:sz w:val="24"/>
          <w:szCs w:val="24"/>
        </w:rPr>
        <w:t xml:space="preserve"> (Item 13)</w:t>
      </w:r>
      <w:r w:rsidR="00C065EA" w:rsidRPr="00C065EA">
        <w:rPr>
          <w:rFonts w:asciiTheme="majorHAnsi" w:hAnsiTheme="majorHAnsi" w:cs="Arial"/>
          <w:sz w:val="24"/>
          <w:szCs w:val="24"/>
        </w:rPr>
        <w:t xml:space="preserve"> in one-</w:t>
      </w:r>
      <w:r w:rsidR="004B08D1">
        <w:rPr>
          <w:rFonts w:asciiTheme="majorHAnsi" w:hAnsiTheme="majorHAnsi" w:cs="Arial"/>
          <w:sz w:val="24"/>
          <w:szCs w:val="24"/>
        </w:rPr>
        <w:t>quarter</w:t>
      </w:r>
      <w:r w:rsidR="00C065EA" w:rsidRPr="00C065EA">
        <w:rPr>
          <w:rFonts w:asciiTheme="majorHAnsi" w:hAnsiTheme="majorHAnsi" w:cs="Arial"/>
          <w:sz w:val="24"/>
          <w:szCs w:val="24"/>
        </w:rPr>
        <w:t xml:space="preserve"> of the reviewed cases (</w:t>
      </w:r>
      <w:r w:rsidR="00566844">
        <w:rPr>
          <w:rFonts w:asciiTheme="majorHAnsi" w:hAnsiTheme="majorHAnsi" w:cs="Arial"/>
          <w:sz w:val="24"/>
          <w:szCs w:val="24"/>
        </w:rPr>
        <w:t>24</w:t>
      </w:r>
      <w:r w:rsidR="00C065EA" w:rsidRPr="00C065EA">
        <w:rPr>
          <w:rFonts w:asciiTheme="majorHAnsi" w:hAnsiTheme="majorHAnsi" w:cs="Arial"/>
          <w:sz w:val="24"/>
          <w:szCs w:val="24"/>
        </w:rPr>
        <w:t xml:space="preserve"> percent) during SFY 201</w:t>
      </w:r>
      <w:r w:rsidR="00566844">
        <w:rPr>
          <w:rFonts w:asciiTheme="majorHAnsi" w:hAnsiTheme="majorHAnsi" w:cs="Arial"/>
          <w:sz w:val="24"/>
          <w:szCs w:val="24"/>
        </w:rPr>
        <w:t>9</w:t>
      </w:r>
      <w:r w:rsidR="00D66FE8">
        <w:rPr>
          <w:rFonts w:asciiTheme="majorHAnsi" w:hAnsiTheme="majorHAnsi" w:cs="Arial"/>
          <w:sz w:val="24"/>
          <w:szCs w:val="24"/>
        </w:rPr>
        <w:t xml:space="preserve"> reviews</w:t>
      </w:r>
      <w:r w:rsidR="00C065EA" w:rsidRPr="00C065EA">
        <w:rPr>
          <w:rFonts w:asciiTheme="majorHAnsi" w:hAnsiTheme="majorHAnsi" w:cs="Arial"/>
          <w:sz w:val="24"/>
          <w:szCs w:val="24"/>
        </w:rPr>
        <w:t xml:space="preserve">. While this is </w:t>
      </w:r>
      <w:r w:rsidR="005E557B" w:rsidRPr="00C065EA">
        <w:rPr>
          <w:rFonts w:asciiTheme="majorHAnsi" w:hAnsiTheme="majorHAnsi" w:cs="Arial"/>
          <w:sz w:val="24"/>
          <w:szCs w:val="24"/>
        </w:rPr>
        <w:t>a</w:t>
      </w:r>
      <w:r w:rsidR="00C065EA" w:rsidRPr="00C065EA">
        <w:rPr>
          <w:rFonts w:asciiTheme="majorHAnsi" w:hAnsiTheme="majorHAnsi" w:cs="Arial"/>
          <w:sz w:val="24"/>
          <w:szCs w:val="24"/>
        </w:rPr>
        <w:t xml:space="preserve"> </w:t>
      </w:r>
      <w:r w:rsidR="00D66FE8">
        <w:rPr>
          <w:rFonts w:asciiTheme="majorHAnsi" w:hAnsiTheme="majorHAnsi" w:cs="Arial"/>
          <w:sz w:val="24"/>
          <w:szCs w:val="24"/>
        </w:rPr>
        <w:t>25</w:t>
      </w:r>
      <w:r w:rsidR="00943102" w:rsidRPr="00C065EA">
        <w:rPr>
          <w:rFonts w:asciiTheme="majorHAnsi" w:hAnsiTheme="majorHAnsi" w:cs="Arial"/>
          <w:sz w:val="24"/>
          <w:szCs w:val="24"/>
        </w:rPr>
        <w:t>-percentage</w:t>
      </w:r>
      <w:r w:rsidR="00C065EA" w:rsidRPr="00C065EA">
        <w:rPr>
          <w:rFonts w:asciiTheme="majorHAnsi" w:hAnsiTheme="majorHAnsi" w:cs="Arial"/>
          <w:sz w:val="24"/>
          <w:szCs w:val="24"/>
        </w:rPr>
        <w:t xml:space="preserve"> point improvement in performance from the Round 3 CFSR (and </w:t>
      </w:r>
      <w:r w:rsidR="008B0232">
        <w:rPr>
          <w:rFonts w:asciiTheme="majorHAnsi" w:hAnsiTheme="majorHAnsi" w:cs="Arial"/>
          <w:sz w:val="24"/>
          <w:szCs w:val="24"/>
        </w:rPr>
        <w:t>7</w:t>
      </w:r>
      <w:r w:rsidR="00C065EA" w:rsidRPr="00C065EA">
        <w:rPr>
          <w:rFonts w:asciiTheme="majorHAnsi" w:hAnsiTheme="majorHAnsi" w:cs="Arial"/>
          <w:sz w:val="24"/>
          <w:szCs w:val="24"/>
        </w:rPr>
        <w:t xml:space="preserve"> percentage</w:t>
      </w:r>
      <w:r w:rsidR="005E557B">
        <w:rPr>
          <w:rFonts w:asciiTheme="majorHAnsi" w:hAnsiTheme="majorHAnsi" w:cs="Arial"/>
          <w:sz w:val="24"/>
          <w:szCs w:val="24"/>
        </w:rPr>
        <w:t xml:space="preserve"> </w:t>
      </w:r>
      <w:r w:rsidR="00C065EA" w:rsidRPr="00C065EA">
        <w:rPr>
          <w:rFonts w:asciiTheme="majorHAnsi" w:hAnsiTheme="majorHAnsi" w:cs="Arial"/>
          <w:sz w:val="24"/>
          <w:szCs w:val="24"/>
        </w:rPr>
        <w:t xml:space="preserve">point increase over </w:t>
      </w:r>
      <w:r w:rsidR="00D66FE8">
        <w:rPr>
          <w:rFonts w:asciiTheme="majorHAnsi" w:hAnsiTheme="majorHAnsi" w:cs="Arial"/>
          <w:sz w:val="24"/>
          <w:szCs w:val="24"/>
        </w:rPr>
        <w:t xml:space="preserve">the </w:t>
      </w:r>
      <w:r w:rsidR="00C065EA" w:rsidRPr="00C065EA">
        <w:rPr>
          <w:rFonts w:asciiTheme="majorHAnsi" w:hAnsiTheme="majorHAnsi" w:cs="Arial"/>
          <w:sz w:val="24"/>
          <w:szCs w:val="24"/>
        </w:rPr>
        <w:t>SFY 201</w:t>
      </w:r>
      <w:r w:rsidR="008B0232">
        <w:rPr>
          <w:rFonts w:asciiTheme="majorHAnsi" w:hAnsiTheme="majorHAnsi" w:cs="Arial"/>
          <w:sz w:val="24"/>
          <w:szCs w:val="24"/>
        </w:rPr>
        <w:t>8</w:t>
      </w:r>
      <w:r w:rsidR="00D66FE8">
        <w:rPr>
          <w:rFonts w:asciiTheme="majorHAnsi" w:hAnsiTheme="majorHAnsi" w:cs="Arial"/>
          <w:sz w:val="24"/>
          <w:szCs w:val="24"/>
        </w:rPr>
        <w:t xml:space="preserve"> QSPR</w:t>
      </w:r>
      <w:r w:rsidR="00C065EA" w:rsidRPr="00C065EA">
        <w:rPr>
          <w:rFonts w:asciiTheme="majorHAnsi" w:hAnsiTheme="majorHAnsi" w:cs="Arial"/>
          <w:sz w:val="24"/>
          <w:szCs w:val="24"/>
        </w:rPr>
        <w:t>), there is room for more improvement.</w:t>
      </w:r>
      <w:r w:rsidR="007B5852">
        <w:rPr>
          <w:rFonts w:asciiTheme="majorHAnsi" w:hAnsiTheme="majorHAnsi" w:cs="Arial"/>
          <w:sz w:val="24"/>
          <w:szCs w:val="24"/>
        </w:rPr>
        <w:t xml:space="preserve"> </w:t>
      </w:r>
      <w:r w:rsidR="007B5852" w:rsidRPr="00DD6DC5">
        <w:rPr>
          <w:rFonts w:asciiTheme="majorHAnsi" w:hAnsiTheme="majorHAnsi" w:cs="Arial"/>
          <w:sz w:val="24"/>
          <w:szCs w:val="24"/>
        </w:rPr>
        <w:t xml:space="preserve">No service </w:t>
      </w:r>
      <w:r w:rsidR="00D66FE8">
        <w:rPr>
          <w:rFonts w:asciiTheme="majorHAnsi" w:hAnsiTheme="majorHAnsi" w:cs="Arial"/>
          <w:sz w:val="24"/>
          <w:szCs w:val="24"/>
        </w:rPr>
        <w:t>a</w:t>
      </w:r>
      <w:r w:rsidR="007B5852" w:rsidRPr="00DD6DC5">
        <w:rPr>
          <w:rFonts w:asciiTheme="majorHAnsi" w:hAnsiTheme="majorHAnsi" w:cs="Arial"/>
          <w:sz w:val="24"/>
          <w:szCs w:val="24"/>
        </w:rPr>
        <w:t xml:space="preserve">rea achieved substantial conformity on the case planning measure, and only Area 2 was rated as a strength (90 percent). </w:t>
      </w:r>
      <w:r w:rsidR="00C065EA" w:rsidRPr="00C065EA">
        <w:rPr>
          <w:rFonts w:asciiTheme="majorHAnsi" w:hAnsiTheme="majorHAnsi" w:cs="Arial"/>
          <w:sz w:val="24"/>
          <w:szCs w:val="24"/>
        </w:rPr>
        <w:t xml:space="preserve"> </w:t>
      </w:r>
      <w:r w:rsidR="00B12ACA">
        <w:rPr>
          <w:rFonts w:asciiTheme="majorHAnsi" w:hAnsiTheme="majorHAnsi" w:cs="Arial"/>
          <w:sz w:val="24"/>
          <w:szCs w:val="24"/>
        </w:rPr>
        <w:t xml:space="preserve">Areas 1 and 10 struggled the most </w:t>
      </w:r>
      <w:r w:rsidR="00DF1E2E">
        <w:rPr>
          <w:rFonts w:asciiTheme="majorHAnsi" w:hAnsiTheme="majorHAnsi" w:cs="Arial"/>
          <w:sz w:val="24"/>
          <w:szCs w:val="24"/>
        </w:rPr>
        <w:t>with this item</w:t>
      </w:r>
      <w:r w:rsidR="0072236A">
        <w:rPr>
          <w:rFonts w:asciiTheme="majorHAnsi" w:hAnsiTheme="majorHAnsi" w:cs="Arial"/>
          <w:sz w:val="24"/>
          <w:szCs w:val="24"/>
        </w:rPr>
        <w:t xml:space="preserve">, albeit both Area’s </w:t>
      </w:r>
      <w:r w:rsidR="00D66FE8">
        <w:rPr>
          <w:rFonts w:asciiTheme="majorHAnsi" w:hAnsiTheme="majorHAnsi" w:cs="Arial"/>
          <w:sz w:val="24"/>
          <w:szCs w:val="24"/>
        </w:rPr>
        <w:t xml:space="preserve">observed </w:t>
      </w:r>
      <w:r w:rsidR="0072236A">
        <w:rPr>
          <w:rFonts w:asciiTheme="majorHAnsi" w:hAnsiTheme="majorHAnsi" w:cs="Arial"/>
          <w:sz w:val="24"/>
          <w:szCs w:val="24"/>
        </w:rPr>
        <w:t>improvement</w:t>
      </w:r>
      <w:r w:rsidR="008F284D">
        <w:rPr>
          <w:rFonts w:asciiTheme="majorHAnsi" w:hAnsiTheme="majorHAnsi" w:cs="Arial"/>
          <w:sz w:val="24"/>
          <w:szCs w:val="24"/>
        </w:rPr>
        <w:t xml:space="preserve"> </w:t>
      </w:r>
      <w:r w:rsidR="00D66FE8">
        <w:rPr>
          <w:rFonts w:asciiTheme="majorHAnsi" w:hAnsiTheme="majorHAnsi" w:cs="Arial"/>
          <w:sz w:val="24"/>
          <w:szCs w:val="24"/>
        </w:rPr>
        <w:t xml:space="preserve">from the SFY 2018 QSPR </w:t>
      </w:r>
      <w:r w:rsidR="008F284D">
        <w:rPr>
          <w:rFonts w:asciiTheme="majorHAnsi" w:hAnsiTheme="majorHAnsi" w:cs="Arial"/>
          <w:sz w:val="24"/>
          <w:szCs w:val="24"/>
        </w:rPr>
        <w:t>of 24 and 10 percentage points</w:t>
      </w:r>
      <w:r w:rsidR="00D66FE8">
        <w:rPr>
          <w:rFonts w:asciiTheme="majorHAnsi" w:hAnsiTheme="majorHAnsi" w:cs="Arial"/>
          <w:sz w:val="24"/>
          <w:szCs w:val="24"/>
        </w:rPr>
        <w:t>, respectively</w:t>
      </w:r>
      <w:r w:rsidR="008F284D">
        <w:rPr>
          <w:rFonts w:asciiTheme="majorHAnsi" w:hAnsiTheme="majorHAnsi" w:cs="Arial"/>
          <w:sz w:val="24"/>
          <w:szCs w:val="24"/>
        </w:rPr>
        <w:t>.</w:t>
      </w:r>
      <w:r w:rsidR="00DD6DC5">
        <w:rPr>
          <w:rFonts w:asciiTheme="majorHAnsi" w:hAnsiTheme="majorHAnsi" w:cs="Arial"/>
          <w:sz w:val="24"/>
          <w:szCs w:val="24"/>
        </w:rPr>
        <w:t xml:space="preserve"> </w:t>
      </w:r>
      <w:r w:rsidR="00CA303D" w:rsidRPr="00DD6DC5">
        <w:rPr>
          <w:rFonts w:asciiTheme="majorHAnsi" w:hAnsiTheme="majorHAnsi" w:cs="Arial"/>
          <w:sz w:val="24"/>
          <w:szCs w:val="24"/>
        </w:rPr>
        <w:t xml:space="preserve">In </w:t>
      </w:r>
      <w:r w:rsidR="00D66FE8">
        <w:rPr>
          <w:rFonts w:asciiTheme="majorHAnsi" w:hAnsiTheme="majorHAnsi" w:cs="Arial"/>
          <w:sz w:val="24"/>
          <w:szCs w:val="24"/>
        </w:rPr>
        <w:t xml:space="preserve">the review of sampled </w:t>
      </w:r>
      <w:r w:rsidR="00CA303D" w:rsidRPr="00DD6DC5">
        <w:rPr>
          <w:rFonts w:asciiTheme="majorHAnsi" w:hAnsiTheme="majorHAnsi" w:cs="Arial"/>
          <w:sz w:val="24"/>
          <w:szCs w:val="24"/>
        </w:rPr>
        <w:t>cases, DCFS staff adequately engaged the child but failed to engage mothers and fathers in discussions of service progression.</w:t>
      </w:r>
      <w:r w:rsidR="00A03A26" w:rsidRPr="00DD6DC5">
        <w:rPr>
          <w:rFonts w:asciiTheme="majorHAnsi" w:hAnsiTheme="majorHAnsi" w:cs="Arial"/>
          <w:sz w:val="24"/>
          <w:szCs w:val="24"/>
        </w:rPr>
        <w:t xml:space="preserve"> </w:t>
      </w:r>
    </w:p>
    <w:p w14:paraId="76917E1B" w14:textId="77777777" w:rsidR="000A3DE7" w:rsidRDefault="000A3DE7" w:rsidP="00C065EA">
      <w:pPr>
        <w:spacing w:after="0" w:line="240" w:lineRule="auto"/>
        <w:ind w:left="360"/>
        <w:jc w:val="both"/>
        <w:rPr>
          <w:rFonts w:ascii="Cambria" w:hAnsi="Cambria" w:cs="Arial"/>
          <w:sz w:val="24"/>
          <w:szCs w:val="24"/>
        </w:rPr>
      </w:pPr>
    </w:p>
    <w:p w14:paraId="6CF6668A" w14:textId="0A240A13" w:rsidR="0092264E" w:rsidRDefault="00822FF7" w:rsidP="0050094D">
      <w:pPr>
        <w:numPr>
          <w:ilvl w:val="0"/>
          <w:numId w:val="11"/>
        </w:numPr>
        <w:spacing w:after="0" w:line="240" w:lineRule="auto"/>
        <w:jc w:val="both"/>
        <w:rPr>
          <w:rFonts w:ascii="Cambria" w:hAnsi="Cambria"/>
          <w:sz w:val="24"/>
          <w:szCs w:val="24"/>
        </w:rPr>
      </w:pPr>
      <w:r>
        <w:rPr>
          <w:rFonts w:ascii="Cambria" w:hAnsi="Cambria" w:cs="Arial"/>
          <w:b/>
          <w:sz w:val="24"/>
          <w:szCs w:val="24"/>
        </w:rPr>
        <w:t>Caseworker Visits with Children and their Parents</w:t>
      </w:r>
      <w:r>
        <w:rPr>
          <w:rFonts w:ascii="Cambria" w:hAnsi="Cambria"/>
          <w:sz w:val="24"/>
          <w:szCs w:val="24"/>
        </w:rPr>
        <w:t xml:space="preserve"> – </w:t>
      </w:r>
      <w:r w:rsidR="0050094D" w:rsidRPr="0050094D">
        <w:rPr>
          <w:rFonts w:ascii="Cambria" w:hAnsi="Cambria"/>
          <w:sz w:val="24"/>
          <w:szCs w:val="24"/>
        </w:rPr>
        <w:t xml:space="preserve">The Agency must conduct frequent, quality visits with children and their parents in order to engage families in the case process and successfully assess risk, safety, strengths, needs and resources.  </w:t>
      </w:r>
      <w:r w:rsidR="000A3DE7" w:rsidRPr="000A3DE7">
        <w:rPr>
          <w:rFonts w:ascii="Cambria" w:hAnsi="Cambria"/>
          <w:sz w:val="24"/>
          <w:szCs w:val="24"/>
        </w:rPr>
        <w:t xml:space="preserve"> When these important interactions do not occur, the Agency cannot ensure children’s safety, permanency and well-being or work with families on the achievement of their case goals.  During the SFY 201</w:t>
      </w:r>
      <w:r w:rsidR="00012FB2">
        <w:rPr>
          <w:rFonts w:ascii="Cambria" w:hAnsi="Cambria"/>
          <w:sz w:val="24"/>
          <w:szCs w:val="24"/>
        </w:rPr>
        <w:t>9</w:t>
      </w:r>
      <w:r w:rsidR="000A3DE7" w:rsidRPr="000A3DE7">
        <w:rPr>
          <w:rFonts w:ascii="Cambria" w:hAnsi="Cambria"/>
          <w:sz w:val="24"/>
          <w:szCs w:val="24"/>
        </w:rPr>
        <w:t xml:space="preserve"> QSPR, children did not receive frequent, substantive caseworker visits in </w:t>
      </w:r>
      <w:r w:rsidR="00012FB2">
        <w:rPr>
          <w:rFonts w:ascii="Cambria" w:hAnsi="Cambria"/>
          <w:sz w:val="24"/>
          <w:szCs w:val="24"/>
        </w:rPr>
        <w:t>26 percent</w:t>
      </w:r>
      <w:r w:rsidR="000A3DE7" w:rsidRPr="000A3DE7">
        <w:rPr>
          <w:rFonts w:ascii="Cambria" w:hAnsi="Cambria"/>
          <w:sz w:val="24"/>
          <w:szCs w:val="24"/>
        </w:rPr>
        <w:t xml:space="preserve"> of the reviewed cases</w:t>
      </w:r>
      <w:r w:rsidR="00012FB2">
        <w:rPr>
          <w:rFonts w:ascii="Cambria" w:hAnsi="Cambria"/>
          <w:sz w:val="24"/>
          <w:szCs w:val="24"/>
        </w:rPr>
        <w:t xml:space="preserve">, </w:t>
      </w:r>
      <w:r w:rsidR="000A3DE7" w:rsidRPr="000A3DE7">
        <w:rPr>
          <w:rFonts w:ascii="Cambria" w:hAnsi="Cambria"/>
          <w:sz w:val="24"/>
          <w:szCs w:val="24"/>
        </w:rPr>
        <w:t xml:space="preserve">while caseworkers failed to provide parents with sufficient visits in </w:t>
      </w:r>
      <w:r w:rsidR="004641C4">
        <w:rPr>
          <w:rFonts w:ascii="Cambria" w:hAnsi="Cambria"/>
          <w:sz w:val="24"/>
          <w:szCs w:val="24"/>
        </w:rPr>
        <w:t>two-fifths</w:t>
      </w:r>
      <w:r w:rsidR="000A3DE7" w:rsidRPr="000A3DE7">
        <w:rPr>
          <w:rFonts w:ascii="Cambria" w:hAnsi="Cambria"/>
          <w:sz w:val="24"/>
          <w:szCs w:val="24"/>
        </w:rPr>
        <w:t xml:space="preserve"> of the reviewed cases (4</w:t>
      </w:r>
      <w:r w:rsidR="00012FB2">
        <w:rPr>
          <w:rFonts w:ascii="Cambria" w:hAnsi="Cambria"/>
          <w:sz w:val="24"/>
          <w:szCs w:val="24"/>
        </w:rPr>
        <w:t>1</w:t>
      </w:r>
      <w:r w:rsidR="000A3DE7" w:rsidRPr="000A3DE7">
        <w:rPr>
          <w:rFonts w:ascii="Cambria" w:hAnsi="Cambria"/>
          <w:sz w:val="24"/>
          <w:szCs w:val="24"/>
        </w:rPr>
        <w:t xml:space="preserve"> percent). While </w:t>
      </w:r>
      <w:r w:rsidR="00E444BA">
        <w:rPr>
          <w:rFonts w:ascii="Cambria" w:hAnsi="Cambria"/>
          <w:sz w:val="24"/>
          <w:szCs w:val="24"/>
        </w:rPr>
        <w:t>substantial</w:t>
      </w:r>
      <w:r w:rsidR="000A3DE7" w:rsidRPr="000A3DE7">
        <w:rPr>
          <w:rFonts w:ascii="Cambria" w:hAnsi="Cambria"/>
          <w:sz w:val="24"/>
          <w:szCs w:val="24"/>
        </w:rPr>
        <w:t xml:space="preserve"> improvement </w:t>
      </w:r>
      <w:r w:rsidR="00E444BA">
        <w:rPr>
          <w:rFonts w:ascii="Cambria" w:hAnsi="Cambria"/>
          <w:sz w:val="24"/>
          <w:szCs w:val="24"/>
        </w:rPr>
        <w:t>in visits with children (Item 1</w:t>
      </w:r>
      <w:r w:rsidR="00092A86">
        <w:rPr>
          <w:rFonts w:ascii="Cambria" w:hAnsi="Cambria"/>
          <w:sz w:val="24"/>
          <w:szCs w:val="24"/>
        </w:rPr>
        <w:t xml:space="preserve">4) </w:t>
      </w:r>
      <w:r w:rsidR="0044742A">
        <w:rPr>
          <w:rFonts w:ascii="Cambria" w:hAnsi="Cambria"/>
          <w:sz w:val="24"/>
          <w:szCs w:val="24"/>
        </w:rPr>
        <w:t xml:space="preserve">was </w:t>
      </w:r>
      <w:r w:rsidR="004641C4">
        <w:rPr>
          <w:rFonts w:ascii="Cambria" w:hAnsi="Cambria"/>
          <w:sz w:val="24"/>
          <w:szCs w:val="24"/>
        </w:rPr>
        <w:t>observed</w:t>
      </w:r>
      <w:r w:rsidR="000A3DE7" w:rsidRPr="000A3DE7">
        <w:rPr>
          <w:rFonts w:ascii="Cambria" w:hAnsi="Cambria"/>
          <w:sz w:val="24"/>
          <w:szCs w:val="24"/>
        </w:rPr>
        <w:t xml:space="preserve"> </w:t>
      </w:r>
      <w:r w:rsidR="00507C25">
        <w:rPr>
          <w:rFonts w:ascii="Cambria" w:hAnsi="Cambria"/>
          <w:sz w:val="24"/>
          <w:szCs w:val="24"/>
        </w:rPr>
        <w:t xml:space="preserve">since </w:t>
      </w:r>
      <w:r w:rsidR="004641C4">
        <w:rPr>
          <w:rFonts w:ascii="Cambria" w:hAnsi="Cambria"/>
          <w:sz w:val="24"/>
          <w:szCs w:val="24"/>
        </w:rPr>
        <w:t xml:space="preserve">completion of the </w:t>
      </w:r>
      <w:r w:rsidR="00092A86">
        <w:rPr>
          <w:rFonts w:ascii="Cambria" w:hAnsi="Cambria"/>
          <w:sz w:val="24"/>
          <w:szCs w:val="24"/>
        </w:rPr>
        <w:t xml:space="preserve">SFY 2018 </w:t>
      </w:r>
      <w:r w:rsidR="004641C4">
        <w:rPr>
          <w:rFonts w:ascii="Cambria" w:hAnsi="Cambria"/>
          <w:sz w:val="24"/>
          <w:szCs w:val="24"/>
        </w:rPr>
        <w:t xml:space="preserve">QSPR </w:t>
      </w:r>
      <w:r w:rsidR="00092A86">
        <w:rPr>
          <w:rFonts w:ascii="Cambria" w:hAnsi="Cambria"/>
          <w:sz w:val="24"/>
          <w:szCs w:val="24"/>
        </w:rPr>
        <w:t xml:space="preserve">and </w:t>
      </w:r>
      <w:r w:rsidR="000A3DE7" w:rsidRPr="000A3DE7">
        <w:rPr>
          <w:rFonts w:ascii="Cambria" w:hAnsi="Cambria"/>
          <w:sz w:val="24"/>
          <w:szCs w:val="24"/>
        </w:rPr>
        <w:t xml:space="preserve">the Round 3 CFSR, </w:t>
      </w:r>
      <w:r w:rsidR="00AF4A47">
        <w:rPr>
          <w:rFonts w:ascii="Cambria" w:hAnsi="Cambria"/>
          <w:sz w:val="24"/>
          <w:szCs w:val="24"/>
        </w:rPr>
        <w:t xml:space="preserve">the state only improved one-percentage point in visits with parents compared to </w:t>
      </w:r>
      <w:r w:rsidR="004641C4">
        <w:rPr>
          <w:rFonts w:ascii="Cambria" w:hAnsi="Cambria"/>
          <w:sz w:val="24"/>
          <w:szCs w:val="24"/>
        </w:rPr>
        <w:t>the last round of QSPRs</w:t>
      </w:r>
      <w:r w:rsidR="000A3DE7" w:rsidRPr="000A3DE7">
        <w:rPr>
          <w:rFonts w:ascii="Cambria" w:hAnsi="Cambria"/>
          <w:sz w:val="24"/>
          <w:szCs w:val="24"/>
        </w:rPr>
        <w:t xml:space="preserve">.  </w:t>
      </w:r>
    </w:p>
    <w:p w14:paraId="43C8B43E" w14:textId="77777777" w:rsidR="0092264E" w:rsidRDefault="0092264E" w:rsidP="0092264E">
      <w:pPr>
        <w:pStyle w:val="ListParagraph"/>
        <w:rPr>
          <w:rFonts w:ascii="Cambria" w:hAnsi="Cambria"/>
          <w:sz w:val="24"/>
          <w:szCs w:val="24"/>
        </w:rPr>
      </w:pPr>
    </w:p>
    <w:p w14:paraId="752F7AE8" w14:textId="6622ACCB" w:rsidR="000A3DE7" w:rsidRDefault="00CD13AE" w:rsidP="00FF276D">
      <w:pPr>
        <w:spacing w:after="0" w:line="240" w:lineRule="auto"/>
        <w:ind w:left="360"/>
        <w:jc w:val="both"/>
        <w:rPr>
          <w:rFonts w:ascii="Cambria" w:hAnsi="Cambria"/>
          <w:sz w:val="24"/>
          <w:szCs w:val="24"/>
        </w:rPr>
      </w:pPr>
      <w:r>
        <w:rPr>
          <w:rFonts w:ascii="Cambria" w:hAnsi="Cambria"/>
          <w:sz w:val="24"/>
          <w:szCs w:val="24"/>
        </w:rPr>
        <w:t xml:space="preserve">Areas 2 and 10 were both </w:t>
      </w:r>
      <w:r w:rsidR="004641C4">
        <w:rPr>
          <w:rFonts w:ascii="Cambria" w:hAnsi="Cambria"/>
          <w:sz w:val="24"/>
          <w:szCs w:val="24"/>
        </w:rPr>
        <w:t xml:space="preserve">found to be </w:t>
      </w:r>
      <w:r>
        <w:rPr>
          <w:rFonts w:ascii="Cambria" w:hAnsi="Cambria"/>
          <w:sz w:val="24"/>
          <w:szCs w:val="24"/>
        </w:rPr>
        <w:t xml:space="preserve">in substantial conformity in regard to visits with </w:t>
      </w:r>
      <w:proofErr w:type="gramStart"/>
      <w:r>
        <w:rPr>
          <w:rFonts w:ascii="Cambria" w:hAnsi="Cambria"/>
          <w:sz w:val="24"/>
          <w:szCs w:val="24"/>
        </w:rPr>
        <w:t>children</w:t>
      </w:r>
      <w:proofErr w:type="gramEnd"/>
      <w:r>
        <w:rPr>
          <w:rFonts w:ascii="Cambria" w:hAnsi="Cambria"/>
          <w:sz w:val="24"/>
          <w:szCs w:val="24"/>
        </w:rPr>
        <w:t xml:space="preserve"> but no </w:t>
      </w:r>
      <w:r w:rsidR="004641C4">
        <w:rPr>
          <w:rFonts w:ascii="Cambria" w:hAnsi="Cambria"/>
          <w:sz w:val="24"/>
          <w:szCs w:val="24"/>
        </w:rPr>
        <w:t>service a</w:t>
      </w:r>
      <w:r>
        <w:rPr>
          <w:rFonts w:ascii="Cambria" w:hAnsi="Cambria"/>
          <w:sz w:val="24"/>
          <w:szCs w:val="24"/>
        </w:rPr>
        <w:t xml:space="preserve">rea was rated as </w:t>
      </w:r>
      <w:r w:rsidR="00585699">
        <w:rPr>
          <w:rFonts w:ascii="Cambria" w:hAnsi="Cambria"/>
          <w:sz w:val="24"/>
          <w:szCs w:val="24"/>
        </w:rPr>
        <w:t xml:space="preserve">a strength </w:t>
      </w:r>
      <w:r w:rsidR="004641C4">
        <w:rPr>
          <w:rFonts w:ascii="Cambria" w:hAnsi="Cambria"/>
          <w:sz w:val="24"/>
          <w:szCs w:val="24"/>
        </w:rPr>
        <w:t xml:space="preserve">for </w:t>
      </w:r>
      <w:r w:rsidR="00585699">
        <w:rPr>
          <w:rFonts w:ascii="Cambria" w:hAnsi="Cambria"/>
          <w:sz w:val="24"/>
          <w:szCs w:val="24"/>
        </w:rPr>
        <w:t xml:space="preserve">visits with parents. </w:t>
      </w:r>
      <w:r w:rsidR="00876F1D">
        <w:rPr>
          <w:rFonts w:ascii="Cambria" w:hAnsi="Cambria"/>
          <w:sz w:val="24"/>
          <w:szCs w:val="24"/>
        </w:rPr>
        <w:t xml:space="preserve">Furthermore, </w:t>
      </w:r>
      <w:r w:rsidR="004641C4">
        <w:rPr>
          <w:rFonts w:ascii="Cambria" w:hAnsi="Cambria"/>
          <w:sz w:val="24"/>
          <w:szCs w:val="24"/>
        </w:rPr>
        <w:t xml:space="preserve">four </w:t>
      </w:r>
      <w:r w:rsidR="00876F1D">
        <w:rPr>
          <w:rFonts w:ascii="Cambria" w:hAnsi="Cambria"/>
          <w:sz w:val="24"/>
          <w:szCs w:val="24"/>
        </w:rPr>
        <w:t xml:space="preserve">Areas (2, 3, 5 and </w:t>
      </w:r>
      <w:r w:rsidR="000C447D">
        <w:rPr>
          <w:rFonts w:ascii="Cambria" w:hAnsi="Cambria"/>
          <w:sz w:val="24"/>
          <w:szCs w:val="24"/>
        </w:rPr>
        <w:t xml:space="preserve">9) performance decreased from </w:t>
      </w:r>
      <w:r w:rsidR="004641C4">
        <w:rPr>
          <w:rFonts w:ascii="Cambria" w:hAnsi="Cambria"/>
          <w:sz w:val="24"/>
          <w:szCs w:val="24"/>
        </w:rPr>
        <w:t xml:space="preserve">the </w:t>
      </w:r>
      <w:r w:rsidR="000C447D">
        <w:rPr>
          <w:rFonts w:ascii="Cambria" w:hAnsi="Cambria"/>
          <w:sz w:val="24"/>
          <w:szCs w:val="24"/>
        </w:rPr>
        <w:t>SFY 2018</w:t>
      </w:r>
      <w:r w:rsidR="004641C4">
        <w:rPr>
          <w:rFonts w:ascii="Cambria" w:hAnsi="Cambria"/>
          <w:sz w:val="24"/>
          <w:szCs w:val="24"/>
        </w:rPr>
        <w:t xml:space="preserve"> QSPR</w:t>
      </w:r>
      <w:r w:rsidR="000C447D">
        <w:rPr>
          <w:rFonts w:ascii="Cambria" w:hAnsi="Cambria"/>
          <w:sz w:val="24"/>
          <w:szCs w:val="24"/>
        </w:rPr>
        <w:t xml:space="preserve">. </w:t>
      </w:r>
      <w:r w:rsidR="00FC7FF6">
        <w:rPr>
          <w:rFonts w:ascii="Cambria" w:hAnsi="Cambria"/>
          <w:sz w:val="24"/>
          <w:szCs w:val="24"/>
        </w:rPr>
        <w:t>B</w:t>
      </w:r>
      <w:r w:rsidR="00FC7FF6" w:rsidRPr="00FC7FF6">
        <w:rPr>
          <w:rFonts w:ascii="Cambria" w:hAnsi="Cambria"/>
          <w:sz w:val="24"/>
          <w:szCs w:val="24"/>
        </w:rPr>
        <w:t>oth the frequency of contact and substance of discussions with the parents was insufficient to promote achievement of case goals or help parents understand the importance of addressing their issues to ensure their children’s safety.</w:t>
      </w:r>
      <w:r w:rsidR="000E1DBE">
        <w:rPr>
          <w:rFonts w:ascii="Cambria" w:hAnsi="Cambria"/>
          <w:sz w:val="24"/>
          <w:szCs w:val="24"/>
        </w:rPr>
        <w:t xml:space="preserve"> Contact visits were not sufficient and occurred less than the monthly requirement.</w:t>
      </w:r>
      <w:r w:rsidR="00FF276D">
        <w:rPr>
          <w:rFonts w:ascii="Cambria" w:hAnsi="Cambria"/>
          <w:sz w:val="24"/>
          <w:szCs w:val="24"/>
        </w:rPr>
        <w:t xml:space="preserve"> Many </w:t>
      </w:r>
      <w:r w:rsidR="000A3DE7" w:rsidRPr="000A3DE7">
        <w:rPr>
          <w:rFonts w:ascii="Cambria" w:hAnsi="Cambria"/>
          <w:sz w:val="24"/>
          <w:szCs w:val="24"/>
        </w:rPr>
        <w:t>of the contacts that did occur were not sufficiently focused on all of the pertinent issues.</w:t>
      </w:r>
      <w:r w:rsidR="00FF276D">
        <w:rPr>
          <w:rFonts w:ascii="Cambria" w:hAnsi="Cambria"/>
          <w:sz w:val="24"/>
          <w:szCs w:val="24"/>
        </w:rPr>
        <w:t xml:space="preserve"> </w:t>
      </w:r>
      <w:r w:rsidR="000A3DE7" w:rsidRPr="000A3DE7">
        <w:rPr>
          <w:rFonts w:ascii="Cambria" w:hAnsi="Cambria"/>
          <w:sz w:val="24"/>
          <w:szCs w:val="24"/>
        </w:rPr>
        <w:t xml:space="preserve">Caseworkers also failed to focus on issues pertinent to case planning, service delivery and goal achievement during contacts with families in some of the deficient cases. </w:t>
      </w:r>
      <w:r w:rsidR="00F75607" w:rsidRPr="00F75607">
        <w:rPr>
          <w:rFonts w:ascii="Cambria" w:hAnsi="Cambria"/>
          <w:sz w:val="24"/>
          <w:szCs w:val="24"/>
        </w:rPr>
        <w:t xml:space="preserve">In one </w:t>
      </w:r>
      <w:r w:rsidR="00651DFC">
        <w:rPr>
          <w:rFonts w:ascii="Cambria" w:hAnsi="Cambria"/>
          <w:sz w:val="24"/>
          <w:szCs w:val="24"/>
        </w:rPr>
        <w:t xml:space="preserve">Area 5 </w:t>
      </w:r>
      <w:r w:rsidR="00F75607" w:rsidRPr="00F75607">
        <w:rPr>
          <w:rFonts w:ascii="Cambria" w:hAnsi="Cambria"/>
          <w:sz w:val="24"/>
          <w:szCs w:val="24"/>
        </w:rPr>
        <w:t>case</w:t>
      </w:r>
      <w:r w:rsidR="00F75607">
        <w:rPr>
          <w:rFonts w:ascii="Cambria" w:hAnsi="Cambria"/>
          <w:sz w:val="24"/>
          <w:szCs w:val="24"/>
        </w:rPr>
        <w:t xml:space="preserve"> </w:t>
      </w:r>
      <w:r w:rsidR="00F75607" w:rsidRPr="00F75607">
        <w:rPr>
          <w:rFonts w:ascii="Cambria" w:hAnsi="Cambria"/>
          <w:sz w:val="24"/>
          <w:szCs w:val="24"/>
        </w:rPr>
        <w:t>the family used the lack of communication between a primary and secondary caseworker and their supervisors as an excuse for their noncompliance, which delayed permanency for the child.</w:t>
      </w:r>
      <w:r w:rsidR="00F75607">
        <w:rPr>
          <w:rFonts w:ascii="Cambria" w:hAnsi="Cambria"/>
          <w:sz w:val="24"/>
          <w:szCs w:val="24"/>
        </w:rPr>
        <w:t xml:space="preserve"> </w:t>
      </w:r>
      <w:r w:rsidR="009F182B" w:rsidRPr="009F182B">
        <w:rPr>
          <w:rFonts w:ascii="Cambria" w:hAnsi="Cambria"/>
          <w:sz w:val="24"/>
          <w:szCs w:val="24"/>
        </w:rPr>
        <w:t xml:space="preserve">This lack of substantive, ongoing communication </w:t>
      </w:r>
      <w:r w:rsidR="00BE1DFE">
        <w:rPr>
          <w:rFonts w:ascii="Cambria" w:hAnsi="Cambria"/>
          <w:sz w:val="24"/>
          <w:szCs w:val="24"/>
        </w:rPr>
        <w:t xml:space="preserve">which was also observed </w:t>
      </w:r>
      <w:r w:rsidR="009F182B" w:rsidRPr="009F182B">
        <w:rPr>
          <w:rFonts w:ascii="Cambria" w:hAnsi="Cambria"/>
          <w:sz w:val="24"/>
          <w:szCs w:val="24"/>
        </w:rPr>
        <w:t xml:space="preserve">between caseworkers and families about case progression </w:t>
      </w:r>
      <w:r w:rsidR="00BE1DFE">
        <w:rPr>
          <w:rFonts w:ascii="Cambria" w:hAnsi="Cambria"/>
          <w:sz w:val="24"/>
          <w:szCs w:val="24"/>
        </w:rPr>
        <w:t xml:space="preserve">impacts </w:t>
      </w:r>
      <w:r w:rsidR="009F182B" w:rsidRPr="009F182B">
        <w:rPr>
          <w:rFonts w:ascii="Cambria" w:hAnsi="Cambria"/>
          <w:sz w:val="24"/>
          <w:szCs w:val="24"/>
        </w:rPr>
        <w:t xml:space="preserve">other family engagement items as </w:t>
      </w:r>
      <w:r w:rsidR="00ED3E59" w:rsidRPr="009F182B">
        <w:rPr>
          <w:rFonts w:ascii="Cambria" w:hAnsi="Cambria"/>
          <w:sz w:val="24"/>
          <w:szCs w:val="24"/>
        </w:rPr>
        <w:t>well and</w:t>
      </w:r>
      <w:r w:rsidR="009F182B" w:rsidRPr="009F182B">
        <w:rPr>
          <w:rFonts w:ascii="Cambria" w:hAnsi="Cambria"/>
          <w:sz w:val="24"/>
          <w:szCs w:val="24"/>
        </w:rPr>
        <w:t xml:space="preserve"> may be a practice or supervisory issue with </w:t>
      </w:r>
      <w:r w:rsidR="009F182B">
        <w:rPr>
          <w:rFonts w:ascii="Cambria" w:hAnsi="Cambria"/>
          <w:sz w:val="24"/>
          <w:szCs w:val="24"/>
        </w:rPr>
        <w:t xml:space="preserve">both foster and </w:t>
      </w:r>
      <w:r w:rsidR="009F182B" w:rsidRPr="009F182B">
        <w:rPr>
          <w:rFonts w:ascii="Cambria" w:hAnsi="Cambria"/>
          <w:sz w:val="24"/>
          <w:szCs w:val="24"/>
        </w:rPr>
        <w:t xml:space="preserve">in-home services cases.  </w:t>
      </w:r>
    </w:p>
    <w:p w14:paraId="03C5640B" w14:textId="469BAFB8" w:rsidR="00B15D64" w:rsidRDefault="00B15D64" w:rsidP="000A3DE7">
      <w:pPr>
        <w:spacing w:after="0" w:line="240" w:lineRule="auto"/>
        <w:ind w:left="360"/>
        <w:jc w:val="both"/>
        <w:rPr>
          <w:rFonts w:ascii="Cambria" w:hAnsi="Cambria"/>
          <w:sz w:val="24"/>
          <w:szCs w:val="24"/>
        </w:rPr>
      </w:pPr>
    </w:p>
    <w:p w14:paraId="674AF157" w14:textId="77777777" w:rsidR="000A3DE7" w:rsidRDefault="000A3DE7" w:rsidP="00ED3E59">
      <w:pPr>
        <w:spacing w:after="0" w:line="240" w:lineRule="auto"/>
        <w:jc w:val="both"/>
        <w:rPr>
          <w:rFonts w:ascii="Cambria" w:hAnsi="Cambria"/>
          <w:sz w:val="24"/>
          <w:szCs w:val="24"/>
        </w:rPr>
      </w:pPr>
    </w:p>
    <w:p w14:paraId="646C5CC3" w14:textId="77777777" w:rsidR="001020C2" w:rsidRPr="00934946" w:rsidRDefault="001020C2" w:rsidP="001020C2">
      <w:pPr>
        <w:pBdr>
          <w:bottom w:val="single" w:sz="12" w:space="1" w:color="auto"/>
        </w:pBdr>
        <w:tabs>
          <w:tab w:val="left" w:pos="2010"/>
        </w:tabs>
        <w:spacing w:after="0" w:line="240" w:lineRule="auto"/>
        <w:rPr>
          <w:rFonts w:asciiTheme="majorHAnsi" w:hAnsiTheme="majorHAnsi"/>
          <w:b/>
          <w:smallCaps/>
          <w:sz w:val="28"/>
          <w:szCs w:val="28"/>
        </w:rPr>
      </w:pPr>
      <w:r>
        <w:rPr>
          <w:rFonts w:asciiTheme="majorHAnsi" w:hAnsiTheme="majorHAnsi"/>
          <w:b/>
          <w:smallCaps/>
          <w:sz w:val="28"/>
          <w:szCs w:val="28"/>
        </w:rPr>
        <w:br w:type="page"/>
      </w:r>
      <w:r w:rsidRPr="001671DA">
        <w:rPr>
          <w:rFonts w:asciiTheme="majorHAnsi" w:hAnsiTheme="majorHAnsi"/>
          <w:b/>
          <w:smallCaps/>
          <w:sz w:val="28"/>
          <w:szCs w:val="28"/>
        </w:rPr>
        <w:t>Summary &amp; Recommendations</w:t>
      </w:r>
      <w:r w:rsidRPr="00934946">
        <w:rPr>
          <w:rFonts w:asciiTheme="majorHAnsi" w:hAnsiTheme="majorHAnsi"/>
          <w:b/>
          <w:smallCaps/>
          <w:sz w:val="28"/>
          <w:szCs w:val="28"/>
        </w:rPr>
        <w:tab/>
      </w:r>
    </w:p>
    <w:p w14:paraId="3EDAD6BE" w14:textId="77777777" w:rsidR="0074445B" w:rsidRPr="00F04654" w:rsidRDefault="0074445B" w:rsidP="001671DA">
      <w:pPr>
        <w:spacing w:after="0" w:line="240" w:lineRule="auto"/>
        <w:jc w:val="both"/>
        <w:rPr>
          <w:rFonts w:ascii="Cambria" w:hAnsi="Cambria" w:cs="Arial"/>
          <w:sz w:val="24"/>
          <w:szCs w:val="24"/>
        </w:rPr>
      </w:pPr>
    </w:p>
    <w:p w14:paraId="6DFE9BE2" w14:textId="45CBA3A5" w:rsidR="00F05F39" w:rsidRDefault="00822FF7" w:rsidP="00F05F39">
      <w:pPr>
        <w:spacing w:after="0" w:line="240" w:lineRule="auto"/>
        <w:jc w:val="both"/>
        <w:rPr>
          <w:rFonts w:ascii="Cambria" w:hAnsi="Cambria" w:cs="Arial"/>
          <w:sz w:val="24"/>
          <w:szCs w:val="24"/>
        </w:rPr>
      </w:pPr>
      <w:r>
        <w:rPr>
          <w:rFonts w:ascii="Cambria" w:hAnsi="Cambria" w:cs="Arial"/>
          <w:sz w:val="24"/>
          <w:szCs w:val="24"/>
        </w:rPr>
        <w:t>In accordance with federal standards, an individual item is assigned an overall rating of Strength if 90 percent or more of the applicable cases were rated as a Strength, while substantial conformity with a particular outcome requires that 95 percent or more of the reviewed cases be rated as having substantially achieved the outcome.  These are lofty expectations, but high standards are needed considering the critical nature of child welfare</w:t>
      </w:r>
      <w:r w:rsidR="001F38C1">
        <w:rPr>
          <w:rFonts w:ascii="Cambria" w:hAnsi="Cambria" w:cs="Arial"/>
          <w:sz w:val="24"/>
          <w:szCs w:val="24"/>
        </w:rPr>
        <w:t xml:space="preserve"> practice</w:t>
      </w:r>
      <w:r>
        <w:rPr>
          <w:rFonts w:ascii="Cambria" w:hAnsi="Cambria" w:cs="Arial"/>
          <w:sz w:val="24"/>
          <w:szCs w:val="24"/>
        </w:rPr>
        <w:t xml:space="preserve">.  </w:t>
      </w:r>
      <w:r w:rsidR="001F38C1">
        <w:rPr>
          <w:rFonts w:ascii="Cambria" w:hAnsi="Cambria" w:cs="Arial"/>
          <w:sz w:val="24"/>
          <w:szCs w:val="24"/>
        </w:rPr>
        <w:t xml:space="preserve">When </w:t>
      </w:r>
      <w:r>
        <w:rPr>
          <w:rFonts w:ascii="Cambria" w:hAnsi="Cambria" w:cs="Arial"/>
          <w:sz w:val="24"/>
          <w:szCs w:val="24"/>
        </w:rPr>
        <w:t>these standards</w:t>
      </w:r>
      <w:r w:rsidR="001F38C1">
        <w:rPr>
          <w:rFonts w:ascii="Cambria" w:hAnsi="Cambria" w:cs="Arial"/>
          <w:sz w:val="24"/>
          <w:szCs w:val="24"/>
        </w:rPr>
        <w:t xml:space="preserve"> are applied</w:t>
      </w:r>
      <w:r>
        <w:rPr>
          <w:rFonts w:ascii="Cambria" w:hAnsi="Cambria" w:cs="Arial"/>
          <w:sz w:val="24"/>
          <w:szCs w:val="24"/>
        </w:rPr>
        <w:t xml:space="preserve">, </w:t>
      </w:r>
      <w:r w:rsidR="00817927">
        <w:rPr>
          <w:rFonts w:ascii="Cambria" w:hAnsi="Cambria" w:cs="Arial"/>
          <w:sz w:val="24"/>
          <w:szCs w:val="24"/>
        </w:rPr>
        <w:t xml:space="preserve">DCFS’ efforts to provide services to prevent </w:t>
      </w:r>
      <w:r w:rsidR="004D281C">
        <w:rPr>
          <w:rFonts w:ascii="Cambria" w:hAnsi="Cambria" w:cs="Arial"/>
          <w:sz w:val="24"/>
          <w:szCs w:val="24"/>
        </w:rPr>
        <w:t xml:space="preserve">the </w:t>
      </w:r>
      <w:r w:rsidR="00817927">
        <w:rPr>
          <w:rFonts w:ascii="Cambria" w:hAnsi="Cambria" w:cs="Arial"/>
          <w:sz w:val="24"/>
          <w:szCs w:val="24"/>
        </w:rPr>
        <w:t xml:space="preserve">removal </w:t>
      </w:r>
      <w:r w:rsidR="004D281C">
        <w:rPr>
          <w:rFonts w:ascii="Cambria" w:hAnsi="Cambria" w:cs="Arial"/>
          <w:sz w:val="24"/>
          <w:szCs w:val="24"/>
        </w:rPr>
        <w:t>of children from their homes and to place children with relatives when appropriate were identified as</w:t>
      </w:r>
      <w:r w:rsidR="00817927">
        <w:rPr>
          <w:rFonts w:ascii="Cambria" w:hAnsi="Cambria" w:cs="Arial"/>
          <w:sz w:val="24"/>
          <w:szCs w:val="24"/>
        </w:rPr>
        <w:t xml:space="preserve"> strength</w:t>
      </w:r>
      <w:r w:rsidR="004D281C">
        <w:rPr>
          <w:rFonts w:ascii="Cambria" w:hAnsi="Cambria" w:cs="Arial"/>
          <w:sz w:val="24"/>
          <w:szCs w:val="24"/>
        </w:rPr>
        <w:t>s</w:t>
      </w:r>
      <w:r w:rsidR="00817927">
        <w:rPr>
          <w:rFonts w:ascii="Cambria" w:hAnsi="Cambria" w:cs="Arial"/>
          <w:sz w:val="24"/>
          <w:szCs w:val="24"/>
        </w:rPr>
        <w:t xml:space="preserve"> in practice </w:t>
      </w:r>
      <w:r w:rsidR="00A719AC">
        <w:rPr>
          <w:rFonts w:ascii="Cambria" w:hAnsi="Cambria" w:cs="Arial"/>
          <w:sz w:val="24"/>
          <w:szCs w:val="24"/>
        </w:rPr>
        <w:t>during the SFY 201</w:t>
      </w:r>
      <w:r w:rsidR="001F38C1">
        <w:rPr>
          <w:rFonts w:ascii="Cambria" w:hAnsi="Cambria" w:cs="Arial"/>
          <w:sz w:val="24"/>
          <w:szCs w:val="24"/>
        </w:rPr>
        <w:t>9</w:t>
      </w:r>
      <w:r w:rsidR="00A719AC">
        <w:rPr>
          <w:rFonts w:ascii="Cambria" w:hAnsi="Cambria" w:cs="Arial"/>
          <w:sz w:val="24"/>
          <w:szCs w:val="24"/>
        </w:rPr>
        <w:t xml:space="preserve"> QSPR</w:t>
      </w:r>
      <w:r w:rsidR="001F38C1">
        <w:rPr>
          <w:rFonts w:ascii="Cambria" w:hAnsi="Cambria" w:cs="Arial"/>
          <w:sz w:val="24"/>
          <w:szCs w:val="24"/>
        </w:rPr>
        <w:t xml:space="preserve"> review period</w:t>
      </w:r>
      <w:r w:rsidR="00A719AC">
        <w:rPr>
          <w:rFonts w:ascii="Cambria" w:hAnsi="Cambria" w:cs="Arial"/>
          <w:sz w:val="24"/>
          <w:szCs w:val="24"/>
        </w:rPr>
        <w:t>.</w:t>
      </w:r>
      <w:r w:rsidR="004D281C">
        <w:rPr>
          <w:rFonts w:ascii="Cambria" w:hAnsi="Cambria" w:cs="Arial"/>
          <w:sz w:val="24"/>
          <w:szCs w:val="24"/>
        </w:rPr>
        <w:t xml:space="preserve"> </w:t>
      </w:r>
      <w:r w:rsidR="00A719AC">
        <w:rPr>
          <w:rFonts w:ascii="Cambria" w:hAnsi="Cambria" w:cs="Arial"/>
          <w:sz w:val="24"/>
          <w:szCs w:val="24"/>
        </w:rPr>
        <w:t xml:space="preserve"> </w:t>
      </w:r>
      <w:r w:rsidR="004D281C">
        <w:rPr>
          <w:rFonts w:ascii="Cambria" w:hAnsi="Cambria" w:cs="Arial"/>
          <w:sz w:val="24"/>
          <w:szCs w:val="24"/>
        </w:rPr>
        <w:t>Additionally</w:t>
      </w:r>
      <w:r w:rsidR="00F05F39">
        <w:rPr>
          <w:rFonts w:ascii="Cambria" w:hAnsi="Cambria" w:cs="Arial"/>
          <w:sz w:val="24"/>
          <w:szCs w:val="24"/>
        </w:rPr>
        <w:t xml:space="preserve">, improvement was evidenced for many of the </w:t>
      </w:r>
      <w:r w:rsidR="004D281C">
        <w:rPr>
          <w:rFonts w:ascii="Cambria" w:hAnsi="Cambria" w:cs="Arial"/>
          <w:sz w:val="24"/>
          <w:szCs w:val="24"/>
        </w:rPr>
        <w:t xml:space="preserve">other </w:t>
      </w:r>
      <w:r w:rsidR="00F05F39">
        <w:rPr>
          <w:rFonts w:ascii="Cambria" w:hAnsi="Cambria" w:cs="Arial"/>
          <w:sz w:val="24"/>
          <w:szCs w:val="24"/>
        </w:rPr>
        <w:t xml:space="preserve">individual items when compared to the results from last year’s review. </w:t>
      </w:r>
    </w:p>
    <w:p w14:paraId="37EC7530" w14:textId="77777777" w:rsidR="00F05F39" w:rsidRDefault="00F05F39" w:rsidP="00822FF7">
      <w:pPr>
        <w:spacing w:after="0" w:line="240" w:lineRule="auto"/>
        <w:jc w:val="both"/>
        <w:rPr>
          <w:rFonts w:ascii="Cambria" w:hAnsi="Cambria" w:cs="Arial"/>
          <w:sz w:val="24"/>
          <w:szCs w:val="24"/>
        </w:rPr>
      </w:pPr>
    </w:p>
    <w:p w14:paraId="0AC66260" w14:textId="60FE6C0F" w:rsidR="00822FF7" w:rsidRDefault="00A719AC" w:rsidP="00822FF7">
      <w:pPr>
        <w:spacing w:after="0" w:line="240" w:lineRule="auto"/>
        <w:jc w:val="both"/>
        <w:rPr>
          <w:rFonts w:ascii="Cambria" w:hAnsi="Cambria" w:cs="Arial"/>
          <w:sz w:val="24"/>
          <w:szCs w:val="24"/>
        </w:rPr>
      </w:pPr>
      <w:r>
        <w:rPr>
          <w:rFonts w:ascii="Cambria" w:hAnsi="Cambria" w:cs="Arial"/>
          <w:sz w:val="24"/>
          <w:szCs w:val="24"/>
        </w:rPr>
        <w:t xml:space="preserve">DCFS was </w:t>
      </w:r>
      <w:r w:rsidR="00822FF7">
        <w:rPr>
          <w:rFonts w:ascii="Cambria" w:hAnsi="Cambria" w:cs="Arial"/>
          <w:sz w:val="24"/>
          <w:szCs w:val="24"/>
        </w:rPr>
        <w:t xml:space="preserve">largely successful at tending to the educational needs of children involved with the Division, but continued progress is needed before </w:t>
      </w:r>
      <w:r>
        <w:rPr>
          <w:rFonts w:ascii="Cambria" w:hAnsi="Cambria" w:cs="Arial"/>
          <w:sz w:val="24"/>
          <w:szCs w:val="24"/>
        </w:rPr>
        <w:t>it</w:t>
      </w:r>
      <w:r w:rsidR="00822FF7">
        <w:rPr>
          <w:rFonts w:ascii="Cambria" w:hAnsi="Cambria" w:cs="Arial"/>
          <w:sz w:val="24"/>
          <w:szCs w:val="24"/>
        </w:rPr>
        <w:t xml:space="preserve"> is considered a true Strength by federal standards.  </w:t>
      </w:r>
      <w:r w:rsidR="00F05F39">
        <w:rPr>
          <w:rFonts w:ascii="Cambria" w:hAnsi="Cambria" w:cs="Arial"/>
          <w:sz w:val="24"/>
          <w:szCs w:val="24"/>
        </w:rPr>
        <w:t>Other areas of promising practice include initiating investigations on time</w:t>
      </w:r>
      <w:r w:rsidR="00F321DE">
        <w:rPr>
          <w:rFonts w:ascii="Cambria" w:hAnsi="Cambria" w:cs="Arial"/>
          <w:sz w:val="24"/>
          <w:szCs w:val="24"/>
        </w:rPr>
        <w:t xml:space="preserve"> and </w:t>
      </w:r>
      <w:r w:rsidR="00F05F39">
        <w:rPr>
          <w:rFonts w:ascii="Cambria" w:hAnsi="Cambria" w:cs="Arial"/>
          <w:sz w:val="24"/>
          <w:szCs w:val="24"/>
        </w:rPr>
        <w:t>promoting visits of children in care with their parents and siblings.</w:t>
      </w:r>
    </w:p>
    <w:p w14:paraId="77B8AB8D" w14:textId="77777777" w:rsidR="00822FF7" w:rsidRDefault="00822FF7" w:rsidP="00822FF7">
      <w:pPr>
        <w:spacing w:after="0" w:line="240" w:lineRule="auto"/>
        <w:jc w:val="both"/>
        <w:rPr>
          <w:rFonts w:ascii="Cambria" w:hAnsi="Cambria" w:cs="Arial"/>
          <w:sz w:val="24"/>
          <w:szCs w:val="24"/>
        </w:rPr>
      </w:pPr>
    </w:p>
    <w:p w14:paraId="029A46A6" w14:textId="58B7EF31" w:rsidR="00822FF7" w:rsidRDefault="00A719AC" w:rsidP="00822FF7">
      <w:pPr>
        <w:spacing w:after="0" w:line="240" w:lineRule="auto"/>
        <w:jc w:val="both"/>
        <w:rPr>
          <w:rFonts w:asciiTheme="majorHAnsi" w:hAnsiTheme="majorHAnsi"/>
          <w:sz w:val="24"/>
          <w:szCs w:val="24"/>
        </w:rPr>
      </w:pPr>
      <w:r>
        <w:rPr>
          <w:rFonts w:ascii="Cambria" w:hAnsi="Cambria" w:cs="Arial"/>
          <w:sz w:val="24"/>
          <w:szCs w:val="24"/>
        </w:rPr>
        <w:t>The 201</w:t>
      </w:r>
      <w:r w:rsidR="001F38C1">
        <w:rPr>
          <w:rFonts w:ascii="Cambria" w:hAnsi="Cambria" w:cs="Arial"/>
          <w:sz w:val="24"/>
          <w:szCs w:val="24"/>
        </w:rPr>
        <w:t>9</w:t>
      </w:r>
      <w:r w:rsidR="00822FF7">
        <w:rPr>
          <w:rFonts w:ascii="Cambria" w:hAnsi="Cambria" w:cs="Arial"/>
          <w:sz w:val="24"/>
          <w:szCs w:val="24"/>
        </w:rPr>
        <w:t xml:space="preserve"> round of reviews underscored similar areas of challenge identified in previous reviews.  </w:t>
      </w:r>
      <w:r w:rsidR="00410902">
        <w:rPr>
          <w:rFonts w:ascii="Cambria" w:hAnsi="Cambria" w:cs="Arial"/>
          <w:sz w:val="24"/>
          <w:szCs w:val="24"/>
        </w:rPr>
        <w:t>I</w:t>
      </w:r>
      <w:r w:rsidR="00410902" w:rsidRPr="00A230B4">
        <w:rPr>
          <w:rFonts w:ascii="Cambria" w:hAnsi="Cambria" w:cs="Arial"/>
          <w:sz w:val="24"/>
          <w:szCs w:val="24"/>
        </w:rPr>
        <w:t xml:space="preserve">nfrequent caseworker visitation </w:t>
      </w:r>
      <w:r w:rsidR="00410902">
        <w:rPr>
          <w:rFonts w:ascii="Cambria" w:hAnsi="Cambria" w:cs="Arial"/>
          <w:sz w:val="24"/>
          <w:szCs w:val="24"/>
        </w:rPr>
        <w:t>continued to</w:t>
      </w:r>
      <w:r w:rsidR="00410902" w:rsidRPr="00A230B4">
        <w:rPr>
          <w:rFonts w:ascii="Cambria" w:hAnsi="Cambria" w:cs="Arial"/>
          <w:sz w:val="24"/>
          <w:szCs w:val="24"/>
        </w:rPr>
        <w:t xml:space="preserve"> prevent caseworkers from effectively assessing and addressing risk and safety concerns</w:t>
      </w:r>
      <w:r w:rsidR="00410902">
        <w:rPr>
          <w:rFonts w:ascii="Cambria" w:hAnsi="Cambria" w:cs="Arial"/>
          <w:sz w:val="24"/>
          <w:szCs w:val="24"/>
        </w:rPr>
        <w:t xml:space="preserve"> for children involved with the Division.  </w:t>
      </w:r>
      <w:r w:rsidR="00822FF7">
        <w:rPr>
          <w:rFonts w:ascii="Cambria" w:hAnsi="Cambria" w:cs="Arial"/>
          <w:sz w:val="24"/>
          <w:szCs w:val="24"/>
        </w:rPr>
        <w:t xml:space="preserve">On the subject of permanency, DCFS struggled to </w:t>
      </w:r>
      <w:r w:rsidR="00410902">
        <w:rPr>
          <w:rFonts w:ascii="Cambria" w:hAnsi="Cambria" w:cs="Arial"/>
          <w:sz w:val="24"/>
          <w:szCs w:val="24"/>
        </w:rPr>
        <w:t xml:space="preserve">achieve </w:t>
      </w:r>
      <w:r w:rsidR="001C36E2">
        <w:rPr>
          <w:rFonts w:ascii="Cambria" w:hAnsi="Cambria" w:cs="Arial"/>
          <w:sz w:val="24"/>
          <w:szCs w:val="24"/>
        </w:rPr>
        <w:t>placement stability</w:t>
      </w:r>
      <w:r w:rsidR="00410902">
        <w:rPr>
          <w:rFonts w:ascii="Cambria" w:hAnsi="Cambria" w:cs="Arial"/>
          <w:sz w:val="24"/>
          <w:szCs w:val="24"/>
        </w:rPr>
        <w:t>,</w:t>
      </w:r>
      <w:r>
        <w:rPr>
          <w:rFonts w:ascii="Cambria" w:hAnsi="Cambria" w:cs="Arial"/>
          <w:sz w:val="24"/>
          <w:szCs w:val="24"/>
        </w:rPr>
        <w:t xml:space="preserve"> </w:t>
      </w:r>
      <w:r w:rsidR="00822FF7">
        <w:rPr>
          <w:rFonts w:ascii="Cambria" w:hAnsi="Cambria" w:cs="Arial"/>
          <w:sz w:val="24"/>
          <w:szCs w:val="24"/>
        </w:rPr>
        <w:t xml:space="preserve">preserve children’s important connections </w:t>
      </w:r>
      <w:r w:rsidR="00410902">
        <w:rPr>
          <w:rFonts w:ascii="Cambria" w:hAnsi="Cambria" w:cs="Arial"/>
          <w:sz w:val="24"/>
          <w:szCs w:val="24"/>
        </w:rPr>
        <w:t>and</w:t>
      </w:r>
      <w:r w:rsidR="00822FF7">
        <w:rPr>
          <w:rFonts w:ascii="Cambria" w:hAnsi="Cambria" w:cs="Arial"/>
          <w:sz w:val="24"/>
          <w:szCs w:val="24"/>
        </w:rPr>
        <w:t xml:space="preserve"> support the relationship between them and their parents through efforts beyond visitation alone</w:t>
      </w:r>
      <w:r w:rsidR="00822FF7">
        <w:rPr>
          <w:rFonts w:asciiTheme="majorHAnsi" w:hAnsiTheme="majorHAnsi"/>
          <w:sz w:val="24"/>
          <w:szCs w:val="24"/>
        </w:rPr>
        <w:t xml:space="preserve">.  Regarding well-being, infrequent caseworker visits continued to prevent the Agency from properly assessing and addressing the needs of children and families and from involving them in case planning.  </w:t>
      </w:r>
      <w:r>
        <w:rPr>
          <w:rFonts w:asciiTheme="majorHAnsi" w:hAnsiTheme="majorHAnsi"/>
          <w:sz w:val="24"/>
          <w:szCs w:val="24"/>
        </w:rPr>
        <w:t>Many</w:t>
      </w:r>
      <w:r w:rsidR="00822FF7">
        <w:rPr>
          <w:rFonts w:asciiTheme="majorHAnsi" w:hAnsiTheme="majorHAnsi"/>
          <w:sz w:val="24"/>
          <w:szCs w:val="24"/>
        </w:rPr>
        <w:t xml:space="preserve"> of the problems </w:t>
      </w:r>
      <w:r w:rsidR="001C36E2">
        <w:rPr>
          <w:rFonts w:asciiTheme="majorHAnsi" w:hAnsiTheme="majorHAnsi"/>
          <w:sz w:val="24"/>
          <w:szCs w:val="24"/>
        </w:rPr>
        <w:t xml:space="preserve">identified </w:t>
      </w:r>
      <w:r w:rsidR="00822FF7">
        <w:rPr>
          <w:rFonts w:asciiTheme="majorHAnsi" w:hAnsiTheme="majorHAnsi"/>
          <w:sz w:val="24"/>
          <w:szCs w:val="24"/>
        </w:rPr>
        <w:t xml:space="preserve">during this year’s reviews </w:t>
      </w:r>
      <w:r w:rsidR="001C36E2">
        <w:rPr>
          <w:rFonts w:asciiTheme="majorHAnsi" w:hAnsiTheme="majorHAnsi"/>
          <w:sz w:val="24"/>
          <w:szCs w:val="24"/>
        </w:rPr>
        <w:t xml:space="preserve">are similar to those unearthed in prior years’ reviews and </w:t>
      </w:r>
      <w:r w:rsidR="00822FF7">
        <w:rPr>
          <w:rFonts w:asciiTheme="majorHAnsi" w:hAnsiTheme="majorHAnsi"/>
          <w:sz w:val="24"/>
          <w:szCs w:val="24"/>
        </w:rPr>
        <w:t xml:space="preserve">stem from infrequent, inconsequential contact between caseworkers and clients.  </w:t>
      </w:r>
    </w:p>
    <w:p w14:paraId="7394FCAF" w14:textId="77777777" w:rsidR="00822FF7" w:rsidRDefault="00822FF7" w:rsidP="00822FF7">
      <w:pPr>
        <w:spacing w:after="0" w:line="240" w:lineRule="auto"/>
        <w:jc w:val="both"/>
        <w:rPr>
          <w:rFonts w:ascii="Cambria" w:hAnsi="Cambria" w:cs="Arial"/>
          <w:sz w:val="24"/>
          <w:szCs w:val="24"/>
        </w:rPr>
      </w:pPr>
    </w:p>
    <w:p w14:paraId="35AEB020" w14:textId="236010EE" w:rsidR="00822FF7" w:rsidRDefault="00822FF7" w:rsidP="00822FF7">
      <w:pPr>
        <w:spacing w:after="0" w:line="240" w:lineRule="auto"/>
        <w:jc w:val="both"/>
        <w:rPr>
          <w:rFonts w:ascii="Cambria" w:hAnsi="Cambria" w:cs="Arial"/>
          <w:sz w:val="24"/>
          <w:szCs w:val="24"/>
        </w:rPr>
      </w:pPr>
      <w:r>
        <w:rPr>
          <w:rFonts w:ascii="Cambria" w:hAnsi="Cambria" w:cs="Arial"/>
          <w:sz w:val="24"/>
          <w:szCs w:val="24"/>
        </w:rPr>
        <w:t xml:space="preserve">There are not many elements of casework practice on which DCFS performs consistently well across all service areas in the state.  There are pockets of best practice, and certain </w:t>
      </w:r>
      <w:r w:rsidR="00F05F39">
        <w:rPr>
          <w:rFonts w:ascii="Cambria" w:hAnsi="Cambria" w:cs="Arial"/>
          <w:sz w:val="24"/>
          <w:szCs w:val="24"/>
        </w:rPr>
        <w:t>service a</w:t>
      </w:r>
      <w:r>
        <w:rPr>
          <w:rFonts w:ascii="Cambria" w:hAnsi="Cambria" w:cs="Arial"/>
          <w:sz w:val="24"/>
          <w:szCs w:val="24"/>
        </w:rPr>
        <w:t>reas perform well in certain areas of practice.  However, the agency needs to work towards aligning casework practice throughout the state so that consistent, substantive services are provided to families.  The service areas differ in size and client population, but the way the Division serves clients needs to be consistent throughout the state.</w:t>
      </w:r>
    </w:p>
    <w:p w14:paraId="09A7916C" w14:textId="77777777" w:rsidR="00822FF7" w:rsidRDefault="00822FF7" w:rsidP="00822FF7">
      <w:pPr>
        <w:spacing w:after="0" w:line="240" w:lineRule="auto"/>
        <w:jc w:val="both"/>
        <w:rPr>
          <w:rFonts w:ascii="Cambria" w:hAnsi="Cambria" w:cs="Arial"/>
          <w:sz w:val="24"/>
          <w:szCs w:val="24"/>
        </w:rPr>
      </w:pPr>
    </w:p>
    <w:p w14:paraId="3238A699" w14:textId="3776440B" w:rsidR="005402D6" w:rsidRDefault="00822FF7" w:rsidP="00822FF7">
      <w:pPr>
        <w:spacing w:after="0" w:line="240" w:lineRule="auto"/>
        <w:jc w:val="both"/>
        <w:rPr>
          <w:rFonts w:asciiTheme="majorHAnsi" w:hAnsiTheme="majorHAnsi"/>
          <w:sz w:val="24"/>
          <w:szCs w:val="24"/>
        </w:rPr>
      </w:pPr>
      <w:r>
        <w:rPr>
          <w:rFonts w:asciiTheme="majorHAnsi" w:hAnsiTheme="majorHAnsi"/>
          <w:sz w:val="24"/>
          <w:szCs w:val="24"/>
        </w:rPr>
        <w:t>The following recommendations are provided to help guide change based on the findi</w:t>
      </w:r>
      <w:r w:rsidR="00A719AC">
        <w:rPr>
          <w:rFonts w:asciiTheme="majorHAnsi" w:hAnsiTheme="majorHAnsi"/>
          <w:sz w:val="24"/>
          <w:szCs w:val="24"/>
        </w:rPr>
        <w:t>ngs from the SFY 201</w:t>
      </w:r>
      <w:r w:rsidR="00F05F39">
        <w:rPr>
          <w:rFonts w:asciiTheme="majorHAnsi" w:hAnsiTheme="majorHAnsi"/>
          <w:sz w:val="24"/>
          <w:szCs w:val="24"/>
        </w:rPr>
        <w:t>9</w:t>
      </w:r>
      <w:r>
        <w:rPr>
          <w:rFonts w:asciiTheme="majorHAnsi" w:hAnsiTheme="majorHAnsi"/>
          <w:sz w:val="24"/>
          <w:szCs w:val="24"/>
        </w:rPr>
        <w:t xml:space="preserve"> QSPR.</w:t>
      </w:r>
    </w:p>
    <w:p w14:paraId="7380D5C5" w14:textId="77777777" w:rsidR="00EB4CD9" w:rsidRDefault="00EB4CD9" w:rsidP="00822FF7">
      <w:pPr>
        <w:spacing w:after="0" w:line="240" w:lineRule="auto"/>
        <w:jc w:val="both"/>
        <w:rPr>
          <w:rFonts w:asciiTheme="majorHAnsi" w:hAnsiTheme="majorHAnsi"/>
          <w:sz w:val="24"/>
          <w:szCs w:val="24"/>
        </w:rPr>
      </w:pPr>
    </w:p>
    <w:p w14:paraId="3CF505A0" w14:textId="4DA38D7D" w:rsidR="00EB4CD9" w:rsidRDefault="00EB4CD9" w:rsidP="00EB4CD9">
      <w:pPr>
        <w:numPr>
          <w:ilvl w:val="0"/>
          <w:numId w:val="12"/>
        </w:numPr>
        <w:tabs>
          <w:tab w:val="left" w:pos="0"/>
        </w:tabs>
        <w:spacing w:after="0" w:line="240" w:lineRule="auto"/>
        <w:ind w:left="360"/>
        <w:contextualSpacing/>
        <w:jc w:val="both"/>
        <w:rPr>
          <w:rFonts w:ascii="Cambria" w:hAnsi="Cambria"/>
          <w:sz w:val="24"/>
          <w:szCs w:val="24"/>
        </w:rPr>
      </w:pPr>
      <w:r>
        <w:rPr>
          <w:rFonts w:ascii="Cambria" w:hAnsi="Cambria"/>
          <w:b/>
          <w:sz w:val="24"/>
          <w:szCs w:val="24"/>
        </w:rPr>
        <w:t>Recommendation 1</w:t>
      </w:r>
      <w:r>
        <w:rPr>
          <w:rFonts w:ascii="Cambria" w:hAnsi="Cambria"/>
          <w:sz w:val="24"/>
          <w:szCs w:val="24"/>
        </w:rPr>
        <w:t xml:space="preserve">:  </w:t>
      </w:r>
      <w:r>
        <w:rPr>
          <w:rFonts w:ascii="Cambria" w:hAnsi="Cambria"/>
          <w:i/>
          <w:sz w:val="24"/>
          <w:szCs w:val="24"/>
        </w:rPr>
        <w:t xml:space="preserve">DCFS should continue working to ensure that caseworkers and supervisors are </w:t>
      </w:r>
      <w:r w:rsidR="00BD23F9">
        <w:rPr>
          <w:rFonts w:ascii="Cambria" w:hAnsi="Cambria"/>
          <w:i/>
          <w:sz w:val="24"/>
          <w:szCs w:val="24"/>
        </w:rPr>
        <w:t>consistently and collaboratively conducting ongoing, accurate assessments for risk and safety in all cases</w:t>
      </w:r>
      <w:r>
        <w:rPr>
          <w:rFonts w:ascii="Cambria" w:hAnsi="Cambria"/>
          <w:i/>
          <w:sz w:val="24"/>
          <w:szCs w:val="24"/>
        </w:rPr>
        <w:t xml:space="preserve"> to protect children involved with the Division.</w:t>
      </w:r>
      <w:r w:rsidR="00BD23F9">
        <w:rPr>
          <w:rFonts w:ascii="Cambria" w:hAnsi="Cambria"/>
          <w:i/>
          <w:sz w:val="24"/>
          <w:szCs w:val="24"/>
        </w:rPr>
        <w:t xml:space="preserve">  These assessments should occur at sufficient frequency to </w:t>
      </w:r>
      <w:r w:rsidR="0059531C">
        <w:rPr>
          <w:rFonts w:ascii="Cambria" w:hAnsi="Cambria"/>
          <w:i/>
          <w:sz w:val="24"/>
          <w:szCs w:val="24"/>
        </w:rPr>
        <w:t xml:space="preserve">not only </w:t>
      </w:r>
      <w:r w:rsidR="00B7283B">
        <w:rPr>
          <w:rFonts w:ascii="Cambria" w:hAnsi="Cambria"/>
          <w:i/>
          <w:sz w:val="24"/>
          <w:szCs w:val="24"/>
        </w:rPr>
        <w:t xml:space="preserve">meet risk and safety standards </w:t>
      </w:r>
      <w:r w:rsidR="0059531C">
        <w:rPr>
          <w:rFonts w:ascii="Cambria" w:hAnsi="Cambria"/>
          <w:i/>
          <w:sz w:val="24"/>
          <w:szCs w:val="24"/>
        </w:rPr>
        <w:t xml:space="preserve">but also address </w:t>
      </w:r>
      <w:r w:rsidR="00B7283B">
        <w:rPr>
          <w:rFonts w:ascii="Cambria" w:hAnsi="Cambria"/>
          <w:i/>
          <w:sz w:val="24"/>
          <w:szCs w:val="24"/>
        </w:rPr>
        <w:t>evolving case circumstances.</w:t>
      </w:r>
    </w:p>
    <w:p w14:paraId="1EE5B23B" w14:textId="77777777" w:rsidR="00EB4CD9" w:rsidRDefault="00EB4CD9" w:rsidP="00EB4CD9">
      <w:pPr>
        <w:tabs>
          <w:tab w:val="left" w:pos="0"/>
        </w:tabs>
        <w:spacing w:after="0" w:line="240" w:lineRule="auto"/>
        <w:ind w:left="360"/>
        <w:contextualSpacing/>
        <w:jc w:val="both"/>
        <w:rPr>
          <w:rFonts w:ascii="Cambria" w:hAnsi="Cambria" w:cs="Arial"/>
          <w:sz w:val="24"/>
          <w:szCs w:val="24"/>
        </w:rPr>
      </w:pPr>
    </w:p>
    <w:p w14:paraId="6616724D" w14:textId="4BAB42A4" w:rsidR="0025067E" w:rsidRPr="0025067E" w:rsidRDefault="00F05F39" w:rsidP="0025067E">
      <w:pPr>
        <w:tabs>
          <w:tab w:val="left" w:pos="0"/>
        </w:tabs>
        <w:spacing w:after="0" w:line="240" w:lineRule="auto"/>
        <w:ind w:left="360"/>
        <w:contextualSpacing/>
        <w:jc w:val="both"/>
        <w:rPr>
          <w:rFonts w:ascii="Times New Roman" w:eastAsia="Times New Roman" w:hAnsi="Times New Roman"/>
          <w:sz w:val="24"/>
          <w:szCs w:val="24"/>
        </w:rPr>
      </w:pPr>
      <w:r>
        <w:rPr>
          <w:rFonts w:ascii="Cambria" w:hAnsi="Cambria" w:cs="Arial"/>
          <w:sz w:val="24"/>
          <w:szCs w:val="24"/>
        </w:rPr>
        <w:t>Marked improvement was observed d</w:t>
      </w:r>
      <w:r w:rsidR="00A719AC">
        <w:rPr>
          <w:rFonts w:ascii="Cambria" w:hAnsi="Cambria" w:cs="Arial"/>
          <w:sz w:val="24"/>
          <w:szCs w:val="24"/>
        </w:rPr>
        <w:t>uring this SFY 201</w:t>
      </w:r>
      <w:r>
        <w:rPr>
          <w:rFonts w:ascii="Cambria" w:hAnsi="Cambria" w:cs="Arial"/>
          <w:sz w:val="24"/>
          <w:szCs w:val="24"/>
        </w:rPr>
        <w:t>9</w:t>
      </w:r>
      <w:r w:rsidR="00EB4CD9">
        <w:rPr>
          <w:rFonts w:ascii="Cambria" w:hAnsi="Cambria" w:cs="Arial"/>
          <w:sz w:val="24"/>
          <w:szCs w:val="24"/>
        </w:rPr>
        <w:t xml:space="preserve"> revi</w:t>
      </w:r>
      <w:r w:rsidR="00A719AC">
        <w:rPr>
          <w:rFonts w:ascii="Cambria" w:hAnsi="Cambria" w:cs="Arial"/>
          <w:sz w:val="24"/>
          <w:szCs w:val="24"/>
        </w:rPr>
        <w:t>ew</w:t>
      </w:r>
      <w:r>
        <w:rPr>
          <w:rFonts w:ascii="Cambria" w:hAnsi="Cambria" w:cs="Arial"/>
          <w:sz w:val="24"/>
          <w:szCs w:val="24"/>
        </w:rPr>
        <w:t xml:space="preserve"> from that of last year’s</w:t>
      </w:r>
      <w:r w:rsidR="00A719AC">
        <w:rPr>
          <w:rFonts w:ascii="Cambria" w:hAnsi="Cambria" w:cs="Arial"/>
          <w:sz w:val="24"/>
          <w:szCs w:val="24"/>
        </w:rPr>
        <w:t xml:space="preserve"> </w:t>
      </w:r>
      <w:r w:rsidR="00EB4CD9">
        <w:rPr>
          <w:rFonts w:ascii="Cambria" w:hAnsi="Cambria" w:cs="Arial"/>
          <w:sz w:val="24"/>
          <w:szCs w:val="24"/>
        </w:rPr>
        <w:t>in regard to assessing and managing risk and safety</w:t>
      </w:r>
      <w:r w:rsidR="00A719AC">
        <w:rPr>
          <w:rFonts w:ascii="Cambria" w:hAnsi="Cambria"/>
          <w:sz w:val="24"/>
          <w:szCs w:val="24"/>
        </w:rPr>
        <w:t xml:space="preserve">.  </w:t>
      </w:r>
      <w:r>
        <w:rPr>
          <w:rFonts w:ascii="Cambria" w:hAnsi="Cambria"/>
          <w:sz w:val="24"/>
          <w:szCs w:val="24"/>
        </w:rPr>
        <w:t xml:space="preserve">However, </w:t>
      </w:r>
      <w:r w:rsidR="00EB4CD9">
        <w:rPr>
          <w:rFonts w:ascii="Cambria" w:hAnsi="Cambria"/>
          <w:sz w:val="24"/>
          <w:szCs w:val="24"/>
        </w:rPr>
        <w:t xml:space="preserve">DCFS must continue to focus on </w:t>
      </w:r>
      <w:r w:rsidR="00B7283B">
        <w:rPr>
          <w:rFonts w:ascii="Cambria" w:hAnsi="Cambria"/>
          <w:sz w:val="24"/>
          <w:szCs w:val="24"/>
        </w:rPr>
        <w:t>managing caseloads to ensure all cases receive regular, ongoing assessment</w:t>
      </w:r>
      <w:r w:rsidR="00507C25">
        <w:rPr>
          <w:rFonts w:ascii="Cambria" w:hAnsi="Cambria"/>
          <w:sz w:val="24"/>
          <w:szCs w:val="24"/>
        </w:rPr>
        <w:t>s</w:t>
      </w:r>
      <w:r w:rsidR="00B7283B">
        <w:rPr>
          <w:rFonts w:ascii="Cambria" w:hAnsi="Cambria"/>
          <w:sz w:val="24"/>
          <w:szCs w:val="24"/>
        </w:rPr>
        <w:t xml:space="preserve"> </w:t>
      </w:r>
      <w:r w:rsidR="00651DFC">
        <w:rPr>
          <w:rFonts w:ascii="Cambria" w:hAnsi="Cambria"/>
          <w:sz w:val="24"/>
          <w:szCs w:val="24"/>
        </w:rPr>
        <w:t xml:space="preserve">of </w:t>
      </w:r>
      <w:r w:rsidR="00EB4CD9">
        <w:rPr>
          <w:rFonts w:ascii="Cambria" w:hAnsi="Cambria"/>
          <w:sz w:val="24"/>
          <w:szCs w:val="24"/>
        </w:rPr>
        <w:t>risk and safety to protect children</w:t>
      </w:r>
      <w:r w:rsidR="00D77D56">
        <w:rPr>
          <w:rFonts w:ascii="Cambria" w:hAnsi="Cambria"/>
          <w:sz w:val="24"/>
          <w:szCs w:val="24"/>
        </w:rPr>
        <w:t xml:space="preserve">, </w:t>
      </w:r>
      <w:r w:rsidR="00D77D56" w:rsidRPr="003D18CF">
        <w:rPr>
          <w:rFonts w:ascii="Cambria" w:hAnsi="Cambria"/>
          <w:sz w:val="24"/>
          <w:szCs w:val="24"/>
        </w:rPr>
        <w:t xml:space="preserve">and that the frequency of assessments is determined by </w:t>
      </w:r>
      <w:r w:rsidR="00D162B1" w:rsidRPr="003D18CF">
        <w:rPr>
          <w:rFonts w:ascii="Cambria" w:hAnsi="Cambria"/>
          <w:sz w:val="24"/>
          <w:szCs w:val="24"/>
        </w:rPr>
        <w:t xml:space="preserve">individual </w:t>
      </w:r>
      <w:r w:rsidR="00D77D56" w:rsidRPr="003D18CF">
        <w:rPr>
          <w:rFonts w:ascii="Cambria" w:hAnsi="Cambria"/>
          <w:sz w:val="24"/>
          <w:szCs w:val="24"/>
        </w:rPr>
        <w:t>case circumstances rather than minimum compliance</w:t>
      </w:r>
      <w:r w:rsidR="0025067E" w:rsidRPr="003D18CF">
        <w:rPr>
          <w:rFonts w:ascii="Times New Roman" w:eastAsia="Times New Roman" w:hAnsi="Times New Roman"/>
          <w:sz w:val="24"/>
          <w:szCs w:val="24"/>
        </w:rPr>
        <w:t>.</w:t>
      </w:r>
      <w:r w:rsidR="0025067E" w:rsidRPr="0025067E">
        <w:rPr>
          <w:rFonts w:ascii="Times New Roman" w:eastAsia="Times New Roman" w:hAnsi="Times New Roman"/>
          <w:sz w:val="24"/>
          <w:szCs w:val="24"/>
        </w:rPr>
        <w:t xml:space="preserve">  </w:t>
      </w:r>
    </w:p>
    <w:p w14:paraId="48E5A474" w14:textId="77777777" w:rsidR="00EB4CD9" w:rsidRDefault="00EB4CD9" w:rsidP="00EB4CD9">
      <w:pPr>
        <w:tabs>
          <w:tab w:val="left" w:pos="0"/>
        </w:tabs>
        <w:spacing w:after="0" w:line="240" w:lineRule="auto"/>
        <w:ind w:left="360"/>
        <w:contextualSpacing/>
        <w:jc w:val="both"/>
        <w:rPr>
          <w:rFonts w:ascii="Cambria" w:hAnsi="Cambria"/>
          <w:sz w:val="24"/>
          <w:szCs w:val="24"/>
        </w:rPr>
      </w:pPr>
    </w:p>
    <w:p w14:paraId="48F44E88" w14:textId="04287702" w:rsidR="00A17EDF" w:rsidRDefault="00EB4CD9" w:rsidP="00CC4771">
      <w:pPr>
        <w:tabs>
          <w:tab w:val="left" w:pos="0"/>
        </w:tabs>
        <w:spacing w:after="0" w:line="240" w:lineRule="auto"/>
        <w:ind w:left="360"/>
        <w:contextualSpacing/>
        <w:jc w:val="both"/>
        <w:rPr>
          <w:rFonts w:asciiTheme="majorHAnsi" w:eastAsia="Times New Roman" w:hAnsiTheme="majorHAnsi"/>
          <w:sz w:val="24"/>
          <w:szCs w:val="24"/>
        </w:rPr>
      </w:pPr>
      <w:r>
        <w:rPr>
          <w:rFonts w:ascii="Cambria" w:hAnsi="Cambria"/>
          <w:sz w:val="24"/>
          <w:szCs w:val="24"/>
        </w:rPr>
        <w:t>S</w:t>
      </w:r>
      <w:r>
        <w:rPr>
          <w:rFonts w:ascii="Cambria" w:hAnsi="Cambria" w:cs="Arial"/>
          <w:sz w:val="24"/>
          <w:szCs w:val="24"/>
        </w:rPr>
        <w:t xml:space="preserve">upervisors and managers must help family service workers </w:t>
      </w:r>
      <w:r w:rsidR="00651DFC">
        <w:rPr>
          <w:rFonts w:ascii="Cambria" w:hAnsi="Cambria" w:cs="Arial"/>
          <w:sz w:val="24"/>
          <w:szCs w:val="24"/>
        </w:rPr>
        <w:t xml:space="preserve">in making </w:t>
      </w:r>
      <w:r>
        <w:rPr>
          <w:rFonts w:ascii="Cambria" w:hAnsi="Cambria" w:cs="Arial"/>
          <w:sz w:val="24"/>
          <w:szCs w:val="24"/>
        </w:rPr>
        <w:t xml:space="preserve">important decisions and hold them accountable for their work, including maintaining contact with children and families and assessing and addressing risk and safety concerns </w:t>
      </w:r>
      <w:r w:rsidRPr="003D18CF">
        <w:rPr>
          <w:rFonts w:ascii="Cambria" w:hAnsi="Cambria" w:cs="Arial"/>
          <w:sz w:val="24"/>
          <w:szCs w:val="24"/>
        </w:rPr>
        <w:t xml:space="preserve">utilizing </w:t>
      </w:r>
      <w:r w:rsidR="00A75BC3" w:rsidRPr="003D18CF">
        <w:rPr>
          <w:rFonts w:ascii="Cambria" w:hAnsi="Cambria" w:cs="Arial"/>
          <w:sz w:val="24"/>
          <w:szCs w:val="24"/>
        </w:rPr>
        <w:t xml:space="preserve">tools and information such as </w:t>
      </w:r>
      <w:r w:rsidRPr="003D18CF">
        <w:rPr>
          <w:rFonts w:ascii="Cambria" w:hAnsi="Cambria" w:cs="Arial"/>
          <w:sz w:val="24"/>
          <w:szCs w:val="24"/>
        </w:rPr>
        <w:t>Structured Decision Making</w:t>
      </w:r>
      <w:r w:rsidR="00A75BC3" w:rsidRPr="003D18CF">
        <w:rPr>
          <w:rFonts w:ascii="Cambria" w:hAnsi="Cambria" w:cs="Arial"/>
          <w:sz w:val="24"/>
          <w:szCs w:val="24"/>
        </w:rPr>
        <w:t xml:space="preserve">, </w:t>
      </w:r>
      <w:r w:rsidR="00D162B1" w:rsidRPr="003D18CF">
        <w:rPr>
          <w:rFonts w:ascii="Cambria" w:hAnsi="Cambria" w:cs="Arial"/>
          <w:sz w:val="24"/>
          <w:szCs w:val="24"/>
        </w:rPr>
        <w:t xml:space="preserve">safety </w:t>
      </w:r>
      <w:r w:rsidR="00A75BC3" w:rsidRPr="003D18CF">
        <w:rPr>
          <w:rFonts w:ascii="Cambria" w:hAnsi="Cambria" w:cs="Arial"/>
          <w:sz w:val="24"/>
          <w:szCs w:val="24"/>
        </w:rPr>
        <w:t>consultations and substance abuse discharge and relapse prevention plans</w:t>
      </w:r>
      <w:r w:rsidR="00507C25" w:rsidRPr="003D18CF">
        <w:rPr>
          <w:rFonts w:ascii="Cambria" w:hAnsi="Cambria" w:cs="Arial"/>
          <w:sz w:val="24"/>
          <w:szCs w:val="24"/>
        </w:rPr>
        <w:t>,</w:t>
      </w:r>
      <w:r w:rsidR="00A75BC3" w:rsidRPr="003D18CF">
        <w:rPr>
          <w:rFonts w:ascii="Cambria" w:hAnsi="Cambria" w:cs="Arial"/>
          <w:sz w:val="24"/>
          <w:szCs w:val="24"/>
        </w:rPr>
        <w:t xml:space="preserve"> when applicable</w:t>
      </w:r>
      <w:r w:rsidRPr="003D18CF">
        <w:rPr>
          <w:rFonts w:ascii="Cambria" w:hAnsi="Cambria" w:cs="Arial"/>
          <w:sz w:val="24"/>
          <w:szCs w:val="24"/>
        </w:rPr>
        <w:t>.</w:t>
      </w:r>
      <w:r>
        <w:rPr>
          <w:rFonts w:ascii="Cambria" w:hAnsi="Cambria" w:cs="Arial"/>
          <w:sz w:val="24"/>
          <w:szCs w:val="24"/>
        </w:rPr>
        <w:t xml:space="preserve">  The Division’s wealth of </w:t>
      </w:r>
      <w:r w:rsidR="008C7D64">
        <w:rPr>
          <w:rFonts w:ascii="Cambria" w:hAnsi="Cambria" w:cs="Arial"/>
          <w:sz w:val="24"/>
          <w:szCs w:val="24"/>
        </w:rPr>
        <w:t xml:space="preserve">revised </w:t>
      </w:r>
      <w:r>
        <w:rPr>
          <w:rFonts w:ascii="Cambria" w:hAnsi="Cambria" w:cs="Arial"/>
          <w:sz w:val="24"/>
          <w:szCs w:val="24"/>
        </w:rPr>
        <w:t xml:space="preserve">management reports </w:t>
      </w:r>
      <w:r w:rsidR="008C7D64">
        <w:rPr>
          <w:rFonts w:ascii="Cambria" w:hAnsi="Cambria" w:cs="Arial"/>
          <w:sz w:val="24"/>
          <w:szCs w:val="24"/>
        </w:rPr>
        <w:t xml:space="preserve">and supervisory tools </w:t>
      </w:r>
      <w:r>
        <w:rPr>
          <w:rFonts w:ascii="Cambria" w:hAnsi="Cambria" w:cs="Arial"/>
          <w:sz w:val="24"/>
          <w:szCs w:val="24"/>
        </w:rPr>
        <w:t xml:space="preserve">should be used to </w:t>
      </w:r>
      <w:r w:rsidR="008C7D64">
        <w:rPr>
          <w:rFonts w:ascii="Cambria" w:hAnsi="Cambria" w:cs="Arial"/>
          <w:sz w:val="24"/>
          <w:szCs w:val="24"/>
        </w:rPr>
        <w:t xml:space="preserve">further support and </w:t>
      </w:r>
      <w:r>
        <w:rPr>
          <w:rFonts w:ascii="Cambria" w:hAnsi="Cambria" w:cs="Arial"/>
          <w:sz w:val="24"/>
          <w:szCs w:val="24"/>
        </w:rPr>
        <w:t>monitor performance</w:t>
      </w:r>
      <w:r w:rsidR="00651DFC">
        <w:rPr>
          <w:rFonts w:ascii="Cambria" w:hAnsi="Cambria" w:cs="Arial"/>
          <w:sz w:val="24"/>
          <w:szCs w:val="24"/>
        </w:rPr>
        <w:t>.</w:t>
      </w:r>
      <w:r>
        <w:rPr>
          <w:rFonts w:ascii="Cambria" w:hAnsi="Cambria" w:cs="Arial"/>
          <w:sz w:val="24"/>
          <w:szCs w:val="24"/>
        </w:rPr>
        <w:t xml:space="preserve">  These will </w:t>
      </w:r>
      <w:r w:rsidR="008C7D64">
        <w:rPr>
          <w:rFonts w:ascii="Cambria" w:hAnsi="Cambria" w:cs="Arial"/>
          <w:sz w:val="24"/>
          <w:szCs w:val="24"/>
        </w:rPr>
        <w:t xml:space="preserve">also </w:t>
      </w:r>
      <w:r>
        <w:rPr>
          <w:rFonts w:ascii="Cambria" w:hAnsi="Cambria" w:cs="Arial"/>
          <w:sz w:val="24"/>
          <w:szCs w:val="24"/>
        </w:rPr>
        <w:t xml:space="preserve">help to </w:t>
      </w:r>
      <w:r w:rsidR="008C7D64">
        <w:rPr>
          <w:rFonts w:ascii="Cambria" w:hAnsi="Cambria" w:cs="Arial"/>
          <w:sz w:val="24"/>
          <w:szCs w:val="24"/>
        </w:rPr>
        <w:t>reflect</w:t>
      </w:r>
      <w:r w:rsidR="00BF5807">
        <w:rPr>
          <w:rFonts w:ascii="Cambria" w:hAnsi="Cambria" w:cs="Arial"/>
          <w:sz w:val="24"/>
          <w:szCs w:val="24"/>
        </w:rPr>
        <w:t xml:space="preserve"> improved practice </w:t>
      </w:r>
      <w:r w:rsidR="008C7D64">
        <w:rPr>
          <w:rFonts w:ascii="Cambria" w:hAnsi="Cambria" w:cs="Arial"/>
          <w:sz w:val="24"/>
          <w:szCs w:val="24"/>
        </w:rPr>
        <w:t xml:space="preserve">efforts </w:t>
      </w:r>
      <w:r w:rsidR="00BF5807">
        <w:rPr>
          <w:rFonts w:ascii="Cambria" w:hAnsi="Cambria" w:cs="Arial"/>
          <w:sz w:val="24"/>
          <w:szCs w:val="24"/>
        </w:rPr>
        <w:t xml:space="preserve">to </w:t>
      </w:r>
      <w:r>
        <w:rPr>
          <w:rFonts w:ascii="Cambria" w:hAnsi="Cambria" w:cs="Arial"/>
          <w:sz w:val="24"/>
          <w:szCs w:val="24"/>
        </w:rPr>
        <w:t xml:space="preserve">ensure that those children most at risk are contacted frequently and that any safety concerns </w:t>
      </w:r>
      <w:r w:rsidR="00D77D56">
        <w:rPr>
          <w:rFonts w:ascii="Cambria" w:hAnsi="Cambria" w:cs="Arial"/>
          <w:sz w:val="24"/>
          <w:szCs w:val="24"/>
        </w:rPr>
        <w:t xml:space="preserve">and/or changing case circumstances </w:t>
      </w:r>
      <w:r>
        <w:rPr>
          <w:rFonts w:ascii="Cambria" w:hAnsi="Cambria" w:cs="Arial"/>
          <w:sz w:val="24"/>
          <w:szCs w:val="24"/>
        </w:rPr>
        <w:t>are adequately addressed by the Agency.</w:t>
      </w:r>
      <w:r w:rsidR="00EC7587" w:rsidRPr="00EC7587">
        <w:rPr>
          <w:rFonts w:ascii="Times New Roman" w:eastAsia="Times New Roman" w:hAnsi="Times New Roman"/>
          <w:sz w:val="24"/>
          <w:szCs w:val="24"/>
        </w:rPr>
        <w:t xml:space="preserve"> </w:t>
      </w:r>
      <w:r w:rsidR="00EC7587" w:rsidRPr="008F7826">
        <w:rPr>
          <w:rFonts w:asciiTheme="majorHAnsi" w:eastAsia="Times New Roman" w:hAnsiTheme="majorHAnsi"/>
          <w:sz w:val="24"/>
          <w:szCs w:val="24"/>
        </w:rPr>
        <w:t>In addition, relevant trainings and staff and stakeholder expertise should be customized to accommodate changing risk and safety concerns and location-specific systemic issues (judicial customs, service array, etc.).</w:t>
      </w:r>
    </w:p>
    <w:p w14:paraId="727944B0" w14:textId="77777777" w:rsidR="00A17EDF" w:rsidRDefault="00A17EDF" w:rsidP="008F7826">
      <w:pPr>
        <w:tabs>
          <w:tab w:val="left" w:pos="0"/>
        </w:tabs>
        <w:spacing w:after="0" w:line="240" w:lineRule="auto"/>
        <w:ind w:left="360"/>
        <w:contextualSpacing/>
        <w:jc w:val="both"/>
        <w:rPr>
          <w:rFonts w:asciiTheme="majorHAnsi" w:eastAsia="Times New Roman" w:hAnsiTheme="majorHAnsi"/>
          <w:sz w:val="24"/>
          <w:szCs w:val="24"/>
        </w:rPr>
      </w:pPr>
    </w:p>
    <w:p w14:paraId="60044C5F" w14:textId="222663D8" w:rsidR="00A17EDF" w:rsidRPr="008F7826" w:rsidRDefault="00A17EDF" w:rsidP="008F7826">
      <w:pPr>
        <w:tabs>
          <w:tab w:val="left" w:pos="0"/>
        </w:tabs>
        <w:spacing w:after="0" w:line="240" w:lineRule="auto"/>
        <w:ind w:left="360"/>
        <w:contextualSpacing/>
        <w:jc w:val="both"/>
        <w:rPr>
          <w:rFonts w:asciiTheme="majorHAnsi" w:eastAsia="Times New Roman" w:hAnsiTheme="majorHAnsi"/>
          <w:sz w:val="24"/>
          <w:szCs w:val="24"/>
        </w:rPr>
      </w:pPr>
    </w:p>
    <w:p w14:paraId="0FA09506" w14:textId="493D12EE" w:rsidR="00A17EDF" w:rsidRDefault="00A17EDF" w:rsidP="00A17EDF">
      <w:pPr>
        <w:numPr>
          <w:ilvl w:val="0"/>
          <w:numId w:val="12"/>
        </w:numPr>
        <w:tabs>
          <w:tab w:val="left" w:pos="0"/>
        </w:tabs>
        <w:spacing w:after="0" w:line="240" w:lineRule="auto"/>
        <w:ind w:left="360"/>
        <w:jc w:val="both"/>
        <w:rPr>
          <w:rFonts w:asciiTheme="majorHAnsi" w:hAnsiTheme="majorHAnsi"/>
          <w:sz w:val="24"/>
          <w:szCs w:val="24"/>
        </w:rPr>
      </w:pPr>
      <w:r>
        <w:rPr>
          <w:rFonts w:asciiTheme="majorHAnsi" w:hAnsiTheme="majorHAnsi"/>
          <w:b/>
          <w:sz w:val="24"/>
          <w:szCs w:val="24"/>
        </w:rPr>
        <w:t>Recommendation 2</w:t>
      </w:r>
      <w:r>
        <w:rPr>
          <w:rFonts w:asciiTheme="majorHAnsi" w:hAnsiTheme="majorHAnsi"/>
          <w:sz w:val="24"/>
          <w:szCs w:val="24"/>
        </w:rPr>
        <w:t xml:space="preserve">:  </w:t>
      </w:r>
      <w:r>
        <w:rPr>
          <w:rFonts w:asciiTheme="majorHAnsi" w:hAnsiTheme="majorHAnsi"/>
          <w:i/>
          <w:sz w:val="24"/>
          <w:szCs w:val="24"/>
        </w:rPr>
        <w:t xml:space="preserve">DCFS should work to further promote and support positive relationships between children in foster care and their </w:t>
      </w:r>
      <w:proofErr w:type="gramStart"/>
      <w:r>
        <w:rPr>
          <w:rFonts w:asciiTheme="majorHAnsi" w:hAnsiTheme="majorHAnsi"/>
          <w:i/>
          <w:sz w:val="24"/>
          <w:szCs w:val="24"/>
        </w:rPr>
        <w:t>parents, and</w:t>
      </w:r>
      <w:proofErr w:type="gramEnd"/>
      <w:r>
        <w:rPr>
          <w:rFonts w:asciiTheme="majorHAnsi" w:hAnsiTheme="majorHAnsi"/>
          <w:i/>
          <w:sz w:val="24"/>
          <w:szCs w:val="24"/>
        </w:rPr>
        <w:t xml:space="preserve"> </w:t>
      </w:r>
      <w:r w:rsidR="00402703">
        <w:rPr>
          <w:rFonts w:asciiTheme="majorHAnsi" w:hAnsiTheme="majorHAnsi"/>
          <w:i/>
          <w:sz w:val="24"/>
          <w:szCs w:val="24"/>
        </w:rPr>
        <w:t xml:space="preserve">make continued efforts to preserve their important connections while in care. </w:t>
      </w:r>
    </w:p>
    <w:p w14:paraId="1E81C3FB" w14:textId="77777777" w:rsidR="00A17EDF" w:rsidRDefault="00A17EDF" w:rsidP="00A17EDF">
      <w:pPr>
        <w:tabs>
          <w:tab w:val="left" w:pos="0"/>
        </w:tabs>
        <w:spacing w:after="0" w:line="240" w:lineRule="auto"/>
        <w:ind w:left="360"/>
        <w:jc w:val="both"/>
        <w:rPr>
          <w:rFonts w:asciiTheme="majorHAnsi" w:hAnsiTheme="majorHAnsi"/>
          <w:sz w:val="24"/>
          <w:szCs w:val="24"/>
        </w:rPr>
      </w:pPr>
    </w:p>
    <w:p w14:paraId="4B5DA6A8" w14:textId="23A32085" w:rsidR="006553D5" w:rsidRDefault="00402703" w:rsidP="00A17EDF">
      <w:pPr>
        <w:tabs>
          <w:tab w:val="left" w:pos="0"/>
        </w:tabs>
        <w:spacing w:after="0" w:line="240" w:lineRule="auto"/>
        <w:ind w:left="360"/>
        <w:jc w:val="both"/>
        <w:rPr>
          <w:rFonts w:asciiTheme="majorHAnsi" w:hAnsiTheme="majorHAnsi"/>
          <w:sz w:val="24"/>
          <w:szCs w:val="24"/>
        </w:rPr>
      </w:pPr>
      <w:r>
        <w:rPr>
          <w:rFonts w:asciiTheme="majorHAnsi" w:hAnsiTheme="majorHAnsi"/>
          <w:sz w:val="24"/>
          <w:szCs w:val="24"/>
        </w:rPr>
        <w:t>While providing children in care with frequent, quality visits with their families was identified as a practice strength in the SFY 2019 QSPR, DCFS continues to struggle to promote children’s relationships with their parents outside of visitation and to preserve important connections</w:t>
      </w:r>
      <w:r w:rsidR="00E26F42">
        <w:rPr>
          <w:rFonts w:asciiTheme="majorHAnsi" w:hAnsiTheme="majorHAnsi"/>
          <w:sz w:val="24"/>
          <w:szCs w:val="24"/>
        </w:rPr>
        <w:t>, both of which are crucial to successful reunification</w:t>
      </w:r>
      <w:r>
        <w:rPr>
          <w:rFonts w:asciiTheme="majorHAnsi" w:hAnsiTheme="majorHAnsi"/>
          <w:sz w:val="24"/>
          <w:szCs w:val="24"/>
        </w:rPr>
        <w:t xml:space="preserve">.  </w:t>
      </w:r>
      <w:r w:rsidR="00E26F42">
        <w:rPr>
          <w:rFonts w:asciiTheme="majorHAnsi" w:hAnsiTheme="majorHAnsi"/>
          <w:sz w:val="24"/>
          <w:szCs w:val="24"/>
        </w:rPr>
        <w:t xml:space="preserve"> </w:t>
      </w:r>
      <w:r w:rsidR="00CA58CB">
        <w:rPr>
          <w:rFonts w:asciiTheme="majorHAnsi" w:hAnsiTheme="majorHAnsi"/>
          <w:sz w:val="24"/>
          <w:szCs w:val="24"/>
        </w:rPr>
        <w:t>Efforts to promote relationships between parents and children in care should be made throughout the life of a case, not just when reunification is imminent or the parents fully compliant.  DCFS staff should make efforts to ensure both relative and non-relative foster parents understand parents can and should attend their children’s medical or developmental therapy appointments a</w:t>
      </w:r>
      <w:r w:rsidR="00507C25">
        <w:rPr>
          <w:rFonts w:asciiTheme="majorHAnsi" w:hAnsiTheme="majorHAnsi"/>
          <w:sz w:val="24"/>
          <w:szCs w:val="24"/>
        </w:rPr>
        <w:t>s well as</w:t>
      </w:r>
      <w:r w:rsidR="00CA58CB">
        <w:rPr>
          <w:rFonts w:asciiTheme="majorHAnsi" w:hAnsiTheme="majorHAnsi"/>
          <w:sz w:val="24"/>
          <w:szCs w:val="24"/>
        </w:rPr>
        <w:t xml:space="preserve"> school meetings/events</w:t>
      </w:r>
      <w:r w:rsidR="00507C25">
        <w:rPr>
          <w:rFonts w:asciiTheme="majorHAnsi" w:hAnsiTheme="majorHAnsi"/>
          <w:sz w:val="24"/>
          <w:szCs w:val="24"/>
        </w:rPr>
        <w:t>,</w:t>
      </w:r>
      <w:r w:rsidR="00CA58CB">
        <w:rPr>
          <w:rFonts w:asciiTheme="majorHAnsi" w:hAnsiTheme="majorHAnsi"/>
          <w:sz w:val="24"/>
          <w:szCs w:val="24"/>
        </w:rPr>
        <w:t xml:space="preserve"> when appropriate</w:t>
      </w:r>
      <w:r w:rsidR="00507C25">
        <w:rPr>
          <w:rFonts w:asciiTheme="majorHAnsi" w:hAnsiTheme="majorHAnsi"/>
          <w:sz w:val="24"/>
          <w:szCs w:val="24"/>
        </w:rPr>
        <w:t>,</w:t>
      </w:r>
      <w:r w:rsidR="00CA58CB">
        <w:rPr>
          <w:rFonts w:asciiTheme="majorHAnsi" w:hAnsiTheme="majorHAnsi"/>
          <w:sz w:val="24"/>
          <w:szCs w:val="24"/>
        </w:rPr>
        <w:t xml:space="preserve"> and encourage relative foster parents in particular to help by supervising such contact or providing transportation for the parents</w:t>
      </w:r>
      <w:r w:rsidR="00507C25">
        <w:rPr>
          <w:rFonts w:asciiTheme="majorHAnsi" w:hAnsiTheme="majorHAnsi"/>
          <w:sz w:val="24"/>
          <w:szCs w:val="24"/>
        </w:rPr>
        <w:t>, again</w:t>
      </w:r>
      <w:r w:rsidR="00CA58CB">
        <w:rPr>
          <w:rFonts w:asciiTheme="majorHAnsi" w:hAnsiTheme="majorHAnsi"/>
          <w:sz w:val="24"/>
          <w:szCs w:val="24"/>
        </w:rPr>
        <w:t xml:space="preserve"> when appropriate.  </w:t>
      </w:r>
      <w:r w:rsidR="000C48C8">
        <w:rPr>
          <w:rFonts w:asciiTheme="majorHAnsi" w:hAnsiTheme="majorHAnsi"/>
          <w:sz w:val="24"/>
          <w:szCs w:val="24"/>
        </w:rPr>
        <w:t xml:space="preserve">Additional efforts to further support positive parent/child relationships should include efforts to facilitate consistent contact between a child and an incarcerated parent, including phone/video calls or exchanging letters. Collaboration with other systems and resources such as volunteer transporters </w:t>
      </w:r>
      <w:r w:rsidR="006553D5">
        <w:rPr>
          <w:rFonts w:asciiTheme="majorHAnsi" w:hAnsiTheme="majorHAnsi"/>
          <w:sz w:val="24"/>
          <w:szCs w:val="24"/>
        </w:rPr>
        <w:t>or community providers may be necessary to provide these additional opportunities</w:t>
      </w:r>
      <w:r w:rsidR="00654F9C">
        <w:rPr>
          <w:rFonts w:asciiTheme="majorHAnsi" w:hAnsiTheme="majorHAnsi"/>
          <w:sz w:val="24"/>
          <w:szCs w:val="24"/>
        </w:rPr>
        <w:t>, and efforts should be made to educate foster parents about the benefits of supporting these positive relationships beyond weekly visits</w:t>
      </w:r>
      <w:r w:rsidR="006553D5">
        <w:rPr>
          <w:rFonts w:asciiTheme="majorHAnsi" w:hAnsiTheme="majorHAnsi"/>
          <w:sz w:val="24"/>
          <w:szCs w:val="24"/>
        </w:rPr>
        <w:t>.</w:t>
      </w:r>
    </w:p>
    <w:p w14:paraId="70BBCE00" w14:textId="77777777" w:rsidR="006553D5" w:rsidRDefault="006553D5" w:rsidP="00A17EDF">
      <w:pPr>
        <w:tabs>
          <w:tab w:val="left" w:pos="0"/>
        </w:tabs>
        <w:spacing w:after="0" w:line="240" w:lineRule="auto"/>
        <w:ind w:left="360"/>
        <w:jc w:val="both"/>
        <w:rPr>
          <w:rFonts w:asciiTheme="majorHAnsi" w:hAnsiTheme="majorHAnsi"/>
          <w:sz w:val="24"/>
          <w:szCs w:val="24"/>
        </w:rPr>
      </w:pPr>
    </w:p>
    <w:p w14:paraId="7348429D" w14:textId="4A63B6D4" w:rsidR="00A17EDF" w:rsidRDefault="00CC4771" w:rsidP="00A17EDF">
      <w:pPr>
        <w:tabs>
          <w:tab w:val="left" w:pos="0"/>
        </w:tabs>
        <w:spacing w:after="0" w:line="240" w:lineRule="auto"/>
        <w:ind w:left="360"/>
        <w:jc w:val="both"/>
        <w:rPr>
          <w:rFonts w:asciiTheme="majorHAnsi" w:hAnsiTheme="majorHAnsi"/>
          <w:sz w:val="24"/>
          <w:szCs w:val="24"/>
        </w:rPr>
      </w:pPr>
      <w:r>
        <w:rPr>
          <w:rFonts w:asciiTheme="majorHAnsi" w:hAnsiTheme="majorHAnsi"/>
          <w:sz w:val="24"/>
          <w:szCs w:val="24"/>
        </w:rPr>
        <w:t>Efforts to</w:t>
      </w:r>
      <w:r w:rsidR="009B55C2">
        <w:rPr>
          <w:rFonts w:asciiTheme="majorHAnsi" w:hAnsiTheme="majorHAnsi"/>
          <w:sz w:val="24"/>
          <w:szCs w:val="24"/>
        </w:rPr>
        <w:t xml:space="preserve"> preserve connections to community</w:t>
      </w:r>
      <w:r w:rsidR="006553D5">
        <w:rPr>
          <w:rFonts w:asciiTheme="majorHAnsi" w:hAnsiTheme="majorHAnsi"/>
          <w:sz w:val="24"/>
          <w:szCs w:val="24"/>
        </w:rPr>
        <w:t xml:space="preserve">, </w:t>
      </w:r>
      <w:r w:rsidR="009B55C2">
        <w:rPr>
          <w:rFonts w:asciiTheme="majorHAnsi" w:hAnsiTheme="majorHAnsi"/>
          <w:sz w:val="24"/>
          <w:szCs w:val="24"/>
        </w:rPr>
        <w:t xml:space="preserve">school </w:t>
      </w:r>
      <w:r w:rsidR="006553D5">
        <w:rPr>
          <w:rFonts w:asciiTheme="majorHAnsi" w:hAnsiTheme="majorHAnsi"/>
          <w:sz w:val="24"/>
          <w:szCs w:val="24"/>
        </w:rPr>
        <w:t xml:space="preserve">and extended family </w:t>
      </w:r>
      <w:r>
        <w:rPr>
          <w:rFonts w:asciiTheme="majorHAnsi" w:hAnsiTheme="majorHAnsi"/>
          <w:sz w:val="24"/>
          <w:szCs w:val="24"/>
        </w:rPr>
        <w:t>are understandably hindered</w:t>
      </w:r>
      <w:r w:rsidR="00241BA3">
        <w:rPr>
          <w:rFonts w:asciiTheme="majorHAnsi" w:hAnsiTheme="majorHAnsi"/>
          <w:sz w:val="24"/>
          <w:szCs w:val="24"/>
        </w:rPr>
        <w:t xml:space="preserve"> when children must be placed out of their home counties</w:t>
      </w:r>
      <w:r>
        <w:rPr>
          <w:rFonts w:asciiTheme="majorHAnsi" w:hAnsiTheme="majorHAnsi"/>
          <w:sz w:val="24"/>
          <w:szCs w:val="24"/>
        </w:rPr>
        <w:t xml:space="preserve"> due to a lack of foster home</w:t>
      </w:r>
      <w:r w:rsidR="00CA58CB">
        <w:rPr>
          <w:rFonts w:asciiTheme="majorHAnsi" w:hAnsiTheme="majorHAnsi"/>
          <w:sz w:val="24"/>
          <w:szCs w:val="24"/>
        </w:rPr>
        <w:t>s</w:t>
      </w:r>
      <w:r w:rsidR="006553D5">
        <w:rPr>
          <w:rFonts w:asciiTheme="majorHAnsi" w:hAnsiTheme="majorHAnsi"/>
          <w:sz w:val="24"/>
          <w:szCs w:val="24"/>
        </w:rPr>
        <w:t xml:space="preserve">.  In addition to ongoing foster home recruitment efforts, DCFS should make efforts to preserve important extended family relationships for children in care by </w:t>
      </w:r>
      <w:r w:rsidR="002F776E">
        <w:rPr>
          <w:rFonts w:asciiTheme="majorHAnsi" w:hAnsiTheme="majorHAnsi"/>
          <w:sz w:val="24"/>
          <w:szCs w:val="24"/>
        </w:rPr>
        <w:t xml:space="preserve">inviting grandparents and other close relatives to </w:t>
      </w:r>
      <w:proofErr w:type="gramStart"/>
      <w:r w:rsidR="002F776E">
        <w:rPr>
          <w:rFonts w:asciiTheme="majorHAnsi" w:hAnsiTheme="majorHAnsi"/>
          <w:sz w:val="24"/>
          <w:szCs w:val="24"/>
        </w:rPr>
        <w:t>designated</w:t>
      </w:r>
      <w:proofErr w:type="gramEnd"/>
      <w:r w:rsidR="002F776E">
        <w:rPr>
          <w:rFonts w:asciiTheme="majorHAnsi" w:hAnsiTheme="majorHAnsi"/>
          <w:sz w:val="24"/>
          <w:szCs w:val="24"/>
        </w:rPr>
        <w:t xml:space="preserve"> visits, or facilitating phone/video calls when visits are not possible.  It was noted in some areas that while staff routinely inquire about relatives as possible </w:t>
      </w:r>
      <w:r w:rsidR="00654F9C">
        <w:rPr>
          <w:rFonts w:asciiTheme="majorHAnsi" w:hAnsiTheme="majorHAnsi"/>
          <w:sz w:val="24"/>
          <w:szCs w:val="24"/>
        </w:rPr>
        <w:t xml:space="preserve">placement options, they often forget to ask about close relatives who may want to maintain their bond with a child in care through visits or phone </w:t>
      </w:r>
      <w:r w:rsidR="003B6346">
        <w:rPr>
          <w:rFonts w:asciiTheme="majorHAnsi" w:hAnsiTheme="majorHAnsi"/>
          <w:sz w:val="24"/>
          <w:szCs w:val="24"/>
        </w:rPr>
        <w:t>contact. Efforts should include talking with parents early in the case to identify the child’s existing relationships with extended family and contacting identified relatives to discuss visits or regular phone contact.  DCFS should also make efforts to ensure children in care are able to maintain friendships with school and church friends when they must be placed out of their home county.</w:t>
      </w:r>
    </w:p>
    <w:p w14:paraId="7A90DF7A" w14:textId="732BD538" w:rsidR="00A17EDF" w:rsidRDefault="00A17EDF" w:rsidP="008F7826">
      <w:pPr>
        <w:tabs>
          <w:tab w:val="left" w:pos="0"/>
        </w:tabs>
        <w:spacing w:after="0" w:line="240" w:lineRule="auto"/>
        <w:contextualSpacing/>
        <w:jc w:val="both"/>
        <w:rPr>
          <w:rFonts w:ascii="Cambria" w:hAnsi="Cambria" w:cs="Arial"/>
          <w:sz w:val="24"/>
          <w:szCs w:val="24"/>
        </w:rPr>
      </w:pPr>
    </w:p>
    <w:p w14:paraId="16CA0568" w14:textId="77777777" w:rsidR="00EB4CD9" w:rsidRDefault="00EB4CD9" w:rsidP="00EB4CD9">
      <w:pPr>
        <w:spacing w:after="0" w:line="240" w:lineRule="auto"/>
        <w:rPr>
          <w:rFonts w:asciiTheme="majorHAnsi" w:hAnsiTheme="majorHAnsi"/>
          <w:b/>
          <w:sz w:val="24"/>
          <w:szCs w:val="24"/>
          <w:highlight w:val="yellow"/>
        </w:rPr>
      </w:pPr>
    </w:p>
    <w:p w14:paraId="5F3E27E4" w14:textId="35D10918" w:rsidR="00EB4CD9" w:rsidRDefault="00EB4CD9" w:rsidP="00EB4CD9">
      <w:pPr>
        <w:numPr>
          <w:ilvl w:val="0"/>
          <w:numId w:val="12"/>
        </w:numPr>
        <w:tabs>
          <w:tab w:val="left" w:pos="0"/>
        </w:tabs>
        <w:spacing w:after="0" w:line="240" w:lineRule="auto"/>
        <w:ind w:left="360"/>
        <w:jc w:val="both"/>
        <w:rPr>
          <w:rFonts w:asciiTheme="majorHAnsi" w:hAnsiTheme="majorHAnsi"/>
          <w:sz w:val="24"/>
          <w:szCs w:val="24"/>
        </w:rPr>
      </w:pPr>
      <w:bookmarkStart w:id="1" w:name="_Hlk27489821"/>
      <w:r>
        <w:rPr>
          <w:rFonts w:asciiTheme="majorHAnsi" w:hAnsiTheme="majorHAnsi"/>
          <w:b/>
          <w:sz w:val="24"/>
          <w:szCs w:val="24"/>
        </w:rPr>
        <w:t xml:space="preserve">Recommendation </w:t>
      </w:r>
      <w:r w:rsidR="00A17EDF">
        <w:rPr>
          <w:rFonts w:asciiTheme="majorHAnsi" w:hAnsiTheme="majorHAnsi"/>
          <w:b/>
          <w:sz w:val="24"/>
          <w:szCs w:val="24"/>
        </w:rPr>
        <w:t>3</w:t>
      </w:r>
      <w:r>
        <w:rPr>
          <w:rFonts w:asciiTheme="majorHAnsi" w:hAnsiTheme="majorHAnsi"/>
          <w:sz w:val="24"/>
          <w:szCs w:val="24"/>
        </w:rPr>
        <w:t xml:space="preserve">:  </w:t>
      </w:r>
      <w:r>
        <w:rPr>
          <w:rFonts w:asciiTheme="majorHAnsi" w:hAnsiTheme="majorHAnsi"/>
          <w:i/>
          <w:sz w:val="24"/>
          <w:szCs w:val="24"/>
        </w:rPr>
        <w:t>DCFS should work to increase both the frequency and quality of caseworker contact with families.</w:t>
      </w:r>
    </w:p>
    <w:p w14:paraId="6E8D501C" w14:textId="77777777" w:rsidR="00EB4CD9" w:rsidRDefault="00EB4CD9" w:rsidP="00EB4CD9">
      <w:pPr>
        <w:tabs>
          <w:tab w:val="left" w:pos="0"/>
        </w:tabs>
        <w:spacing w:after="0" w:line="240" w:lineRule="auto"/>
        <w:ind w:left="360"/>
        <w:jc w:val="both"/>
        <w:rPr>
          <w:rFonts w:asciiTheme="majorHAnsi" w:hAnsiTheme="majorHAnsi"/>
          <w:sz w:val="24"/>
          <w:szCs w:val="24"/>
        </w:rPr>
      </w:pPr>
    </w:p>
    <w:p w14:paraId="26F8B6F9" w14:textId="6C14117C" w:rsidR="00EB4CD9" w:rsidRDefault="00EB4CD9" w:rsidP="00EB4CD9">
      <w:pPr>
        <w:tabs>
          <w:tab w:val="left" w:pos="0"/>
        </w:tabs>
        <w:spacing w:after="0" w:line="240" w:lineRule="auto"/>
        <w:ind w:left="360"/>
        <w:jc w:val="both"/>
        <w:rPr>
          <w:rFonts w:asciiTheme="majorHAnsi" w:hAnsiTheme="majorHAnsi"/>
          <w:sz w:val="24"/>
          <w:szCs w:val="24"/>
        </w:rPr>
      </w:pPr>
      <w:r>
        <w:rPr>
          <w:rFonts w:asciiTheme="majorHAnsi" w:hAnsiTheme="majorHAnsi"/>
          <w:sz w:val="24"/>
          <w:szCs w:val="24"/>
        </w:rPr>
        <w:t>Even though caseloads must be prioritized based on safety with the most vulnerable children receiving priority, all children and caretakers involved in Arkansas’s child welfare system should receive frequent communication and engagement from their assigned caseworkers.  DCFS continues to struggle with maintaining consistent contact with and providing services to children and families, as evidenced by consistently low performance in Well-Being Outcome 1.  If children and families are not seen regularly</w:t>
      </w:r>
      <w:r w:rsidR="00BF5807">
        <w:rPr>
          <w:rFonts w:asciiTheme="majorHAnsi" w:hAnsiTheme="majorHAnsi"/>
          <w:sz w:val="24"/>
          <w:szCs w:val="24"/>
        </w:rPr>
        <w:t>,</w:t>
      </w:r>
      <w:r>
        <w:rPr>
          <w:rFonts w:asciiTheme="majorHAnsi" w:hAnsiTheme="majorHAnsi"/>
          <w:sz w:val="24"/>
          <w:szCs w:val="24"/>
        </w:rPr>
        <w:t xml:space="preserve"> then risk, safety, strengths and needs cannot be assessed; families cannot be actively involved in case planning; safety, permanency and well-being cannot be ensured; case goals are not likely to be achieved; and cases are likely to be left open longer than needed. </w:t>
      </w:r>
      <w:r w:rsidR="00C00E14">
        <w:rPr>
          <w:rFonts w:asciiTheme="majorHAnsi" w:hAnsiTheme="majorHAnsi"/>
          <w:sz w:val="24"/>
          <w:szCs w:val="24"/>
        </w:rPr>
        <w:t xml:space="preserve"> </w:t>
      </w:r>
    </w:p>
    <w:p w14:paraId="2C17FE72" w14:textId="58EFA6AD" w:rsidR="001020C2" w:rsidRPr="003D18CF" w:rsidRDefault="001020C2" w:rsidP="001020C2">
      <w:pPr>
        <w:tabs>
          <w:tab w:val="left" w:pos="0"/>
        </w:tabs>
        <w:spacing w:after="0" w:line="240" w:lineRule="auto"/>
        <w:ind w:left="360"/>
        <w:jc w:val="both"/>
        <w:rPr>
          <w:rFonts w:asciiTheme="majorHAnsi" w:eastAsia="Times New Roman" w:hAnsiTheme="majorHAnsi"/>
          <w:sz w:val="24"/>
          <w:szCs w:val="24"/>
        </w:rPr>
      </w:pPr>
      <w:r w:rsidRPr="003D18CF">
        <w:rPr>
          <w:rFonts w:asciiTheme="majorHAnsi" w:eastAsia="Times New Roman" w:hAnsiTheme="majorHAnsi"/>
          <w:sz w:val="24"/>
          <w:szCs w:val="24"/>
        </w:rPr>
        <w:t>Supervisors must not only ensure that caseworkers are regularly visiting families</w:t>
      </w:r>
      <w:r w:rsidR="00BF5807" w:rsidRPr="003D18CF">
        <w:rPr>
          <w:rFonts w:asciiTheme="majorHAnsi" w:eastAsia="Times New Roman" w:hAnsiTheme="majorHAnsi"/>
          <w:sz w:val="24"/>
          <w:szCs w:val="24"/>
        </w:rPr>
        <w:t>,</w:t>
      </w:r>
      <w:r w:rsidRPr="003D18CF">
        <w:rPr>
          <w:rFonts w:asciiTheme="majorHAnsi" w:eastAsia="Times New Roman" w:hAnsiTheme="majorHAnsi"/>
          <w:sz w:val="24"/>
          <w:szCs w:val="24"/>
        </w:rPr>
        <w:t xml:space="preserve"> they must also ensure such visits are substantive.  During the SFY 201</w:t>
      </w:r>
      <w:r w:rsidR="00D162B1" w:rsidRPr="003D18CF">
        <w:rPr>
          <w:rFonts w:asciiTheme="majorHAnsi" w:eastAsia="Times New Roman" w:hAnsiTheme="majorHAnsi"/>
          <w:sz w:val="24"/>
          <w:szCs w:val="24"/>
        </w:rPr>
        <w:t>9</w:t>
      </w:r>
      <w:r w:rsidRPr="003D18CF">
        <w:rPr>
          <w:rFonts w:asciiTheme="majorHAnsi" w:eastAsia="Times New Roman" w:hAnsiTheme="majorHAnsi"/>
          <w:sz w:val="24"/>
          <w:szCs w:val="24"/>
        </w:rPr>
        <w:t xml:space="preserve"> QSPR, reviewers </w:t>
      </w:r>
      <w:r w:rsidR="00D162B1" w:rsidRPr="003D18CF">
        <w:rPr>
          <w:rFonts w:asciiTheme="majorHAnsi" w:eastAsia="Times New Roman" w:hAnsiTheme="majorHAnsi"/>
          <w:sz w:val="24"/>
          <w:szCs w:val="24"/>
        </w:rPr>
        <w:t>freq</w:t>
      </w:r>
      <w:r w:rsidRPr="003D18CF">
        <w:rPr>
          <w:rFonts w:asciiTheme="majorHAnsi" w:eastAsia="Times New Roman" w:hAnsiTheme="majorHAnsi"/>
          <w:sz w:val="24"/>
          <w:szCs w:val="24"/>
        </w:rPr>
        <w:t xml:space="preserve">uently found that monthly visits in foster care cases occurred while the entire family was at the office for a familial visit or while parents were called to the office for drug screens. Neither setting is conducive to a quality visit. Workers must visit parents in their homes when possible, or other private, comfortable locations with the intent of spending time discussing relevant case issues. If workers are not having quality interactions with parents in their homes, it is unlikely they can make adequate decisions about when it is safe for children to be reunified. </w:t>
      </w:r>
      <w:r w:rsidR="00D75D47" w:rsidRPr="003D18CF">
        <w:rPr>
          <w:rFonts w:asciiTheme="majorHAnsi" w:eastAsia="Times New Roman" w:hAnsiTheme="majorHAnsi"/>
          <w:sz w:val="24"/>
          <w:szCs w:val="24"/>
        </w:rPr>
        <w:t>Similarly,</w:t>
      </w:r>
      <w:r w:rsidRPr="003D18CF">
        <w:rPr>
          <w:rFonts w:asciiTheme="majorHAnsi" w:eastAsia="Times New Roman" w:hAnsiTheme="majorHAnsi"/>
          <w:sz w:val="24"/>
          <w:szCs w:val="24"/>
        </w:rPr>
        <w:t xml:space="preserve"> workers need to be visiting children in their foster homes or family homes and talking to them privately </w:t>
      </w:r>
      <w:r w:rsidR="00FA6F10" w:rsidRPr="003D18CF">
        <w:rPr>
          <w:rFonts w:asciiTheme="majorHAnsi" w:eastAsia="Times New Roman" w:hAnsiTheme="majorHAnsi"/>
          <w:sz w:val="24"/>
          <w:szCs w:val="24"/>
        </w:rPr>
        <w:t xml:space="preserve">or interacting with very young children away from caregivers </w:t>
      </w:r>
      <w:r w:rsidRPr="003D18CF">
        <w:rPr>
          <w:rFonts w:asciiTheme="majorHAnsi" w:eastAsia="Times New Roman" w:hAnsiTheme="majorHAnsi"/>
          <w:sz w:val="24"/>
          <w:szCs w:val="24"/>
        </w:rPr>
        <w:t>in order to ensure their safety and well-being.</w:t>
      </w:r>
    </w:p>
    <w:p w14:paraId="2F8919D5" w14:textId="77777777" w:rsidR="001020C2" w:rsidRDefault="001020C2" w:rsidP="001020C2">
      <w:pPr>
        <w:tabs>
          <w:tab w:val="left" w:pos="0"/>
        </w:tabs>
        <w:spacing w:after="0" w:line="240" w:lineRule="auto"/>
        <w:ind w:left="360"/>
        <w:jc w:val="both"/>
        <w:rPr>
          <w:rFonts w:ascii="Times New Roman" w:eastAsia="Times New Roman" w:hAnsi="Times New Roman"/>
          <w:sz w:val="24"/>
          <w:szCs w:val="24"/>
        </w:rPr>
      </w:pPr>
    </w:p>
    <w:bookmarkEnd w:id="1"/>
    <w:p w14:paraId="39B0BF9E" w14:textId="259BF94A" w:rsidR="001020C2" w:rsidRPr="003D18CF" w:rsidRDefault="001020C2" w:rsidP="001020C2">
      <w:pPr>
        <w:tabs>
          <w:tab w:val="left" w:pos="0"/>
        </w:tabs>
        <w:spacing w:after="0" w:line="240" w:lineRule="auto"/>
        <w:ind w:left="360"/>
        <w:jc w:val="both"/>
        <w:rPr>
          <w:rFonts w:asciiTheme="majorHAnsi" w:eastAsia="Times New Roman" w:hAnsiTheme="majorHAnsi"/>
          <w:sz w:val="24"/>
          <w:szCs w:val="24"/>
        </w:rPr>
      </w:pPr>
      <w:r w:rsidRPr="003D18CF">
        <w:rPr>
          <w:rFonts w:asciiTheme="majorHAnsi" w:eastAsia="Times New Roman" w:hAnsiTheme="majorHAnsi"/>
          <w:sz w:val="24"/>
          <w:szCs w:val="24"/>
        </w:rPr>
        <w:t xml:space="preserve">In addition to a focus on quality, there should be a shift toward determining the appropriate frequency of caseworker visits based on case circumstance rather than minimum compliance with policy.  More than monthly visits with children and caregivers may be appropriate at critical junctures in a case, not only to ensure safety but to guide case progression and timely permanency; the age and vulnerabilities of participants may call for more frequent caseworker contact as well.  </w:t>
      </w:r>
      <w:r w:rsidR="003D18CF">
        <w:rPr>
          <w:rFonts w:asciiTheme="majorHAnsi" w:eastAsia="Times New Roman" w:hAnsiTheme="majorHAnsi"/>
          <w:sz w:val="24"/>
          <w:szCs w:val="24"/>
        </w:rPr>
        <w:t xml:space="preserve"> </w:t>
      </w:r>
      <w:r w:rsidRPr="003D18CF">
        <w:rPr>
          <w:rFonts w:asciiTheme="majorHAnsi" w:eastAsia="Times New Roman" w:hAnsiTheme="majorHAnsi"/>
          <w:sz w:val="24"/>
          <w:szCs w:val="24"/>
        </w:rPr>
        <w:t xml:space="preserve">This is understandably a challenge given the lack of consistent caseworker contact with families seen in previous </w:t>
      </w:r>
      <w:r w:rsidR="009E3BFD" w:rsidRPr="003D18CF">
        <w:rPr>
          <w:rFonts w:asciiTheme="majorHAnsi" w:eastAsia="Times New Roman" w:hAnsiTheme="majorHAnsi"/>
          <w:sz w:val="24"/>
          <w:szCs w:val="24"/>
        </w:rPr>
        <w:t>reviews but</w:t>
      </w:r>
      <w:r w:rsidRPr="003D18CF">
        <w:rPr>
          <w:rFonts w:asciiTheme="majorHAnsi" w:eastAsia="Times New Roman" w:hAnsiTheme="majorHAnsi"/>
          <w:sz w:val="24"/>
          <w:szCs w:val="24"/>
        </w:rPr>
        <w:t xml:space="preserve"> should be a goal of best practice in the development of Arkansas’s casework staff.</w:t>
      </w:r>
    </w:p>
    <w:p w14:paraId="4CB3F5ED" w14:textId="77777777" w:rsidR="001020C2" w:rsidRPr="003D18CF" w:rsidRDefault="001020C2" w:rsidP="001020C2">
      <w:pPr>
        <w:tabs>
          <w:tab w:val="left" w:pos="0"/>
        </w:tabs>
        <w:spacing w:after="0" w:line="240" w:lineRule="auto"/>
        <w:ind w:left="360"/>
        <w:jc w:val="both"/>
        <w:rPr>
          <w:rFonts w:asciiTheme="majorHAnsi" w:eastAsia="Times New Roman" w:hAnsiTheme="majorHAnsi"/>
          <w:sz w:val="24"/>
          <w:szCs w:val="24"/>
        </w:rPr>
      </w:pPr>
    </w:p>
    <w:p w14:paraId="2EEE63A9" w14:textId="6DE4CAF1" w:rsidR="001020C2" w:rsidRPr="003D18CF" w:rsidRDefault="001020C2" w:rsidP="001020C2">
      <w:pPr>
        <w:tabs>
          <w:tab w:val="left" w:pos="0"/>
        </w:tabs>
        <w:spacing w:after="0" w:line="240" w:lineRule="auto"/>
        <w:ind w:left="360"/>
        <w:jc w:val="both"/>
        <w:rPr>
          <w:rFonts w:asciiTheme="majorHAnsi" w:eastAsia="Times New Roman" w:hAnsiTheme="majorHAnsi"/>
          <w:sz w:val="24"/>
          <w:szCs w:val="24"/>
        </w:rPr>
      </w:pPr>
      <w:r w:rsidRPr="003D18CF">
        <w:rPr>
          <w:rFonts w:asciiTheme="majorHAnsi" w:eastAsia="Times New Roman" w:hAnsiTheme="majorHAnsi"/>
          <w:sz w:val="24"/>
          <w:szCs w:val="24"/>
        </w:rPr>
        <w:t>Supervisors must regularly model and support caseworker visits and other casework activities in addition to monitoring the Compliance Outcome Reports (COR), the 120-day visitation reports as well as other DCFS management reports to ensure that staff are visiting clients sufficiently often and engaging them in collaborative decision-making.</w:t>
      </w:r>
      <w:r w:rsidR="00FA6F10" w:rsidRPr="003D18CF">
        <w:rPr>
          <w:rFonts w:asciiTheme="majorHAnsi" w:eastAsia="Times New Roman" w:hAnsiTheme="majorHAnsi"/>
          <w:sz w:val="24"/>
          <w:szCs w:val="24"/>
        </w:rPr>
        <w:t xml:space="preserve">  Ongoing supervisory support is especially beneficial to newer caseworkers w</w:t>
      </w:r>
      <w:r w:rsidR="00A17EDF" w:rsidRPr="003D18CF">
        <w:rPr>
          <w:rFonts w:asciiTheme="majorHAnsi" w:eastAsia="Times New Roman" w:hAnsiTheme="majorHAnsi"/>
          <w:sz w:val="24"/>
          <w:szCs w:val="24"/>
        </w:rPr>
        <w:t xml:space="preserve">ho may be unsure how to </w:t>
      </w:r>
      <w:r w:rsidR="00FA6F10" w:rsidRPr="003D18CF">
        <w:rPr>
          <w:rFonts w:asciiTheme="majorHAnsi" w:eastAsia="Times New Roman" w:hAnsiTheme="majorHAnsi"/>
          <w:sz w:val="24"/>
          <w:szCs w:val="24"/>
        </w:rPr>
        <w:t>encourage parental engagement in services and promote case progression.</w:t>
      </w:r>
    </w:p>
    <w:p w14:paraId="7D4A71D0" w14:textId="730C2A7D" w:rsidR="00A17EDF" w:rsidRDefault="00A17EDF" w:rsidP="001020C2">
      <w:pPr>
        <w:tabs>
          <w:tab w:val="left" w:pos="0"/>
        </w:tabs>
        <w:spacing w:after="0" w:line="240" w:lineRule="auto"/>
        <w:ind w:left="360"/>
        <w:jc w:val="both"/>
        <w:rPr>
          <w:rFonts w:ascii="Times New Roman" w:eastAsia="Times New Roman" w:hAnsi="Times New Roman"/>
          <w:sz w:val="24"/>
          <w:szCs w:val="24"/>
        </w:rPr>
      </w:pPr>
    </w:p>
    <w:p w14:paraId="34C6FD9D" w14:textId="0179145D" w:rsidR="008F7826" w:rsidRDefault="008F7826" w:rsidP="001020C2">
      <w:pPr>
        <w:tabs>
          <w:tab w:val="left" w:pos="0"/>
        </w:tabs>
        <w:spacing w:after="0" w:line="240" w:lineRule="auto"/>
        <w:ind w:left="360"/>
        <w:jc w:val="both"/>
        <w:rPr>
          <w:rFonts w:ascii="Times New Roman" w:eastAsia="Times New Roman" w:hAnsi="Times New Roman"/>
          <w:sz w:val="24"/>
          <w:szCs w:val="24"/>
        </w:rPr>
      </w:pPr>
    </w:p>
    <w:p w14:paraId="1D0EE218" w14:textId="67918A78" w:rsidR="008F7826" w:rsidRDefault="008F7826" w:rsidP="001020C2">
      <w:pPr>
        <w:tabs>
          <w:tab w:val="left" w:pos="0"/>
        </w:tabs>
        <w:spacing w:after="0" w:line="240" w:lineRule="auto"/>
        <w:ind w:left="360"/>
        <w:jc w:val="both"/>
        <w:rPr>
          <w:rFonts w:ascii="Times New Roman" w:eastAsia="Times New Roman" w:hAnsi="Times New Roman"/>
          <w:sz w:val="24"/>
          <w:szCs w:val="24"/>
        </w:rPr>
      </w:pPr>
    </w:p>
    <w:p w14:paraId="557A0452" w14:textId="4115ABAA" w:rsidR="008F7826" w:rsidRDefault="008F7826" w:rsidP="001020C2">
      <w:pPr>
        <w:tabs>
          <w:tab w:val="left" w:pos="0"/>
        </w:tabs>
        <w:spacing w:after="0" w:line="240" w:lineRule="auto"/>
        <w:ind w:left="360"/>
        <w:jc w:val="both"/>
        <w:rPr>
          <w:rFonts w:ascii="Times New Roman" w:eastAsia="Times New Roman" w:hAnsi="Times New Roman"/>
          <w:sz w:val="24"/>
          <w:szCs w:val="24"/>
        </w:rPr>
      </w:pPr>
    </w:p>
    <w:p w14:paraId="7767749E" w14:textId="67F813FA" w:rsidR="008F7826" w:rsidRDefault="008F7826" w:rsidP="001020C2">
      <w:pPr>
        <w:tabs>
          <w:tab w:val="left" w:pos="0"/>
        </w:tabs>
        <w:spacing w:after="0" w:line="240" w:lineRule="auto"/>
        <w:ind w:left="360"/>
        <w:jc w:val="both"/>
        <w:rPr>
          <w:rFonts w:ascii="Times New Roman" w:eastAsia="Times New Roman" w:hAnsi="Times New Roman"/>
          <w:sz w:val="24"/>
          <w:szCs w:val="24"/>
        </w:rPr>
      </w:pPr>
    </w:p>
    <w:p w14:paraId="33234CA4" w14:textId="3112D340" w:rsidR="008F7826" w:rsidRDefault="008F7826" w:rsidP="001020C2">
      <w:pPr>
        <w:tabs>
          <w:tab w:val="left" w:pos="0"/>
        </w:tabs>
        <w:spacing w:after="0" w:line="240" w:lineRule="auto"/>
        <w:ind w:left="360"/>
        <w:jc w:val="both"/>
        <w:rPr>
          <w:rFonts w:ascii="Times New Roman" w:eastAsia="Times New Roman" w:hAnsi="Times New Roman"/>
          <w:sz w:val="24"/>
          <w:szCs w:val="24"/>
        </w:rPr>
      </w:pPr>
    </w:p>
    <w:p w14:paraId="3A3F1B03" w14:textId="13719349"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072C1DF5" w14:textId="1340047A"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19F88740" w14:textId="692AD7BC"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2BA32E40" w14:textId="70D399B7"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00BCF10E" w14:textId="15AC6BC2"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12AEB032" w14:textId="0D66A855"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3654706A" w14:textId="06628AD4"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0D7499AC" w14:textId="3C4B0FFF"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26B17671" w14:textId="14AB475C"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09DD6400" w14:textId="1A894293"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1ECBC30B" w14:textId="5D529292"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43CDD4B0" w14:textId="0FE86306"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612B9021" w14:textId="60E6E80D"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15611C0F" w14:textId="2C6D3FE4"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7638E1AB" w14:textId="2887652D"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6D412704" w14:textId="217FBAC1"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3C2C443F" w14:textId="3C34C9EA"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5032E295" w14:textId="1A56FEFE"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16811331" w14:textId="74AA81C3"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4C40FFDD" w14:textId="19093954"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11E8FA6D" w14:textId="1D7FE5EA"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4EA3FD20" w14:textId="1AA02F7F"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0E4AD7D5" w14:textId="1506BCC1"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3E83FE65" w14:textId="4354A57E"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215DA5A5" w14:textId="30FE47B7"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26120735" w14:textId="0530892C"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320B0586" w14:textId="7C5F707F"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746BB21E" w14:textId="04C438B0"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76BF6172" w14:textId="7A2FB776"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139E2487" w14:textId="77777777" w:rsidR="00D01BCD" w:rsidRDefault="00D01BCD" w:rsidP="001020C2">
      <w:pPr>
        <w:tabs>
          <w:tab w:val="left" w:pos="0"/>
        </w:tabs>
        <w:spacing w:after="0" w:line="240" w:lineRule="auto"/>
        <w:ind w:left="360"/>
        <w:jc w:val="both"/>
        <w:rPr>
          <w:rFonts w:ascii="Times New Roman" w:eastAsia="Times New Roman" w:hAnsi="Times New Roman"/>
          <w:sz w:val="24"/>
          <w:szCs w:val="24"/>
        </w:rPr>
      </w:pPr>
    </w:p>
    <w:p w14:paraId="34C26AF5" w14:textId="77777777" w:rsidR="008F7826" w:rsidRDefault="008F7826" w:rsidP="001020C2">
      <w:pPr>
        <w:tabs>
          <w:tab w:val="left" w:pos="0"/>
        </w:tabs>
        <w:spacing w:after="0" w:line="240" w:lineRule="auto"/>
        <w:ind w:left="360"/>
        <w:jc w:val="both"/>
        <w:rPr>
          <w:rFonts w:ascii="Times New Roman" w:eastAsia="Times New Roman" w:hAnsi="Times New Roman"/>
          <w:sz w:val="24"/>
          <w:szCs w:val="24"/>
        </w:rPr>
      </w:pPr>
    </w:p>
    <w:p w14:paraId="45C2D578" w14:textId="77777777" w:rsidR="00A17EDF" w:rsidRDefault="00A17EDF" w:rsidP="001020C2">
      <w:pPr>
        <w:tabs>
          <w:tab w:val="left" w:pos="0"/>
        </w:tabs>
        <w:spacing w:after="0" w:line="240" w:lineRule="auto"/>
        <w:ind w:left="360"/>
        <w:jc w:val="both"/>
        <w:rPr>
          <w:rFonts w:ascii="Times New Roman" w:eastAsia="Times New Roman" w:hAnsi="Times New Roman"/>
          <w:sz w:val="24"/>
          <w:szCs w:val="24"/>
        </w:rPr>
      </w:pPr>
    </w:p>
    <w:p w14:paraId="653B611E" w14:textId="4B77C3F5" w:rsidR="001C3C40" w:rsidRDefault="000F768C" w:rsidP="003E1A48">
      <w:pPr>
        <w:pBdr>
          <w:bottom w:val="single" w:sz="12" w:space="0" w:color="auto"/>
        </w:pBdr>
        <w:tabs>
          <w:tab w:val="left" w:pos="2010"/>
        </w:tabs>
        <w:spacing w:after="0" w:line="240" w:lineRule="auto"/>
        <w:ind w:left="-990" w:right="-1080"/>
        <w:rPr>
          <w:rFonts w:asciiTheme="majorHAnsi" w:hAnsiTheme="majorHAnsi"/>
          <w:b/>
          <w:smallCaps/>
          <w:sz w:val="24"/>
          <w:szCs w:val="24"/>
        </w:rPr>
      </w:pPr>
      <w:r>
        <w:rPr>
          <w:rFonts w:asciiTheme="majorHAnsi" w:hAnsiTheme="majorHAnsi"/>
          <w:b/>
          <w:smallCaps/>
          <w:sz w:val="28"/>
          <w:szCs w:val="28"/>
        </w:rPr>
        <w:t>Appendix</w:t>
      </w:r>
    </w:p>
    <w:p w14:paraId="35775D2F" w14:textId="77777777" w:rsidR="001C3C40" w:rsidRPr="00A9066A" w:rsidRDefault="001C3C40" w:rsidP="001C3C40">
      <w:pPr>
        <w:spacing w:after="0" w:line="240" w:lineRule="auto"/>
        <w:jc w:val="both"/>
        <w:rPr>
          <w:rFonts w:ascii="Arial" w:hAnsi="Arial" w:cs="Arial"/>
          <w:sz w:val="28"/>
          <w:szCs w:val="28"/>
        </w:rPr>
      </w:pPr>
    </w:p>
    <w:p w14:paraId="3F3EB661" w14:textId="77777777" w:rsidR="001C3C40" w:rsidRDefault="001C3C40" w:rsidP="001C3C40">
      <w:pPr>
        <w:spacing w:after="0" w:line="240" w:lineRule="auto"/>
        <w:jc w:val="both"/>
        <w:rPr>
          <w:rFonts w:ascii="Arial" w:hAnsi="Arial" w:cs="Arial"/>
          <w:sz w:val="24"/>
          <w:szCs w:val="24"/>
        </w:rPr>
      </w:pPr>
    </w:p>
    <w:tbl>
      <w:tblPr>
        <w:tblW w:w="10556" w:type="dxa"/>
        <w:jc w:val="center"/>
        <w:tblLook w:val="04A0" w:firstRow="1" w:lastRow="0" w:firstColumn="1" w:lastColumn="0" w:noHBand="0" w:noVBand="1"/>
      </w:tblPr>
      <w:tblGrid>
        <w:gridCol w:w="7740"/>
        <w:gridCol w:w="920"/>
        <w:gridCol w:w="976"/>
        <w:gridCol w:w="920"/>
      </w:tblGrid>
      <w:tr w:rsidR="001C3C40" w:rsidRPr="00003266" w14:paraId="451B993F" w14:textId="77777777" w:rsidTr="003D18CF">
        <w:trPr>
          <w:trHeight w:val="315"/>
          <w:tblHeader/>
          <w:jc w:val="center"/>
        </w:trPr>
        <w:tc>
          <w:tcPr>
            <w:tcW w:w="10556" w:type="dxa"/>
            <w:gridSpan w:val="4"/>
            <w:tcBorders>
              <w:top w:val="single" w:sz="8" w:space="0" w:color="auto"/>
              <w:left w:val="single" w:sz="8" w:space="0" w:color="auto"/>
              <w:bottom w:val="nil"/>
              <w:right w:val="single" w:sz="8" w:space="0" w:color="000000"/>
            </w:tcBorders>
            <w:shd w:val="clear" w:color="auto" w:fill="215967"/>
            <w:noWrap/>
            <w:vAlign w:val="center"/>
            <w:hideMark/>
          </w:tcPr>
          <w:p w14:paraId="63E78D10" w14:textId="789E7D3B" w:rsidR="001C3C40" w:rsidRPr="0071156E" w:rsidRDefault="0071156E" w:rsidP="000F768C">
            <w:pPr>
              <w:spacing w:after="0" w:line="240" w:lineRule="auto"/>
              <w:jc w:val="center"/>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sz w:val="24"/>
                <w:szCs w:val="24"/>
              </w:rPr>
              <w:t xml:space="preserve">Table 5: </w:t>
            </w:r>
            <w:r w:rsidR="000F768C" w:rsidRPr="0071156E">
              <w:rPr>
                <w:rFonts w:asciiTheme="majorHAnsi" w:eastAsia="Times New Roman" w:hAnsiTheme="majorHAnsi" w:cs="Arial"/>
                <w:b/>
                <w:bCs/>
                <w:color w:val="FFFFFF"/>
                <w:sz w:val="24"/>
                <w:szCs w:val="24"/>
              </w:rPr>
              <w:t>S</w:t>
            </w:r>
            <w:r w:rsidR="00EB4CD9">
              <w:rPr>
                <w:rFonts w:asciiTheme="majorHAnsi" w:eastAsia="Times New Roman" w:hAnsiTheme="majorHAnsi" w:cs="Arial"/>
                <w:b/>
                <w:bCs/>
                <w:color w:val="FFFFFF"/>
                <w:sz w:val="24"/>
                <w:szCs w:val="24"/>
              </w:rPr>
              <w:t>tatewide QSPR/CFSR Comparisons (</w:t>
            </w:r>
            <w:r w:rsidR="00A719AC">
              <w:rPr>
                <w:rFonts w:asciiTheme="majorHAnsi" w:eastAsia="Times New Roman" w:hAnsiTheme="majorHAnsi" w:cs="Arial"/>
                <w:b/>
                <w:bCs/>
                <w:color w:val="FFFFFF"/>
                <w:sz w:val="24"/>
                <w:szCs w:val="24"/>
              </w:rPr>
              <w:t>Round 3 CFSR – SFY 201</w:t>
            </w:r>
            <w:r w:rsidR="0058217C">
              <w:rPr>
                <w:rFonts w:asciiTheme="majorHAnsi" w:eastAsia="Times New Roman" w:hAnsiTheme="majorHAnsi" w:cs="Arial"/>
                <w:b/>
                <w:bCs/>
                <w:color w:val="FFFFFF"/>
                <w:sz w:val="24"/>
                <w:szCs w:val="24"/>
              </w:rPr>
              <w:t>9</w:t>
            </w:r>
            <w:r w:rsidR="00EB4CD9">
              <w:rPr>
                <w:rFonts w:asciiTheme="majorHAnsi" w:eastAsia="Times New Roman" w:hAnsiTheme="majorHAnsi" w:cs="Arial"/>
                <w:b/>
                <w:bCs/>
                <w:color w:val="FFFFFF"/>
                <w:sz w:val="24"/>
                <w:szCs w:val="24"/>
              </w:rPr>
              <w:t>)</w:t>
            </w:r>
          </w:p>
        </w:tc>
      </w:tr>
      <w:tr w:rsidR="001C3C40" w:rsidRPr="00003266" w14:paraId="72AAFBE9" w14:textId="77777777" w:rsidTr="003D18CF">
        <w:trPr>
          <w:trHeight w:val="900"/>
          <w:tblHeader/>
          <w:jc w:val="center"/>
        </w:trPr>
        <w:tc>
          <w:tcPr>
            <w:tcW w:w="7740" w:type="dxa"/>
            <w:tcBorders>
              <w:top w:val="single" w:sz="4" w:space="0" w:color="FFFFFF"/>
              <w:left w:val="single" w:sz="8" w:space="0" w:color="auto"/>
              <w:bottom w:val="single" w:sz="4" w:space="0" w:color="FFFFFF"/>
              <w:right w:val="single" w:sz="4" w:space="0" w:color="FFFFFF"/>
            </w:tcBorders>
            <w:shd w:val="clear" w:color="auto" w:fill="215967"/>
            <w:noWrap/>
            <w:vAlign w:val="center"/>
            <w:hideMark/>
          </w:tcPr>
          <w:p w14:paraId="4ED2D815" w14:textId="77777777" w:rsidR="001C3C40" w:rsidRPr="0071156E" w:rsidRDefault="001C3C40" w:rsidP="00F70D87">
            <w:pPr>
              <w:spacing w:after="0" w:line="240" w:lineRule="auto"/>
              <w:jc w:val="center"/>
              <w:rPr>
                <w:rFonts w:asciiTheme="majorHAnsi" w:eastAsia="Times New Roman" w:hAnsiTheme="majorHAnsi" w:cs="Arial"/>
                <w:i/>
                <w:iCs/>
                <w:color w:val="FFFFFF"/>
                <w:sz w:val="24"/>
                <w:szCs w:val="24"/>
              </w:rPr>
            </w:pPr>
            <w:r w:rsidRPr="0071156E">
              <w:rPr>
                <w:rFonts w:asciiTheme="majorHAnsi" w:eastAsia="Times New Roman" w:hAnsiTheme="majorHAnsi" w:cs="Arial"/>
                <w:i/>
                <w:iCs/>
                <w:color w:val="FFFFFF"/>
                <w:sz w:val="24"/>
                <w:szCs w:val="24"/>
              </w:rPr>
              <w:t> </w:t>
            </w:r>
          </w:p>
        </w:tc>
        <w:tc>
          <w:tcPr>
            <w:tcW w:w="920" w:type="dxa"/>
            <w:tcBorders>
              <w:top w:val="single" w:sz="4" w:space="0" w:color="FFFFFF"/>
              <w:left w:val="nil"/>
              <w:bottom w:val="single" w:sz="4" w:space="0" w:color="FFFFFF"/>
              <w:right w:val="single" w:sz="4" w:space="0" w:color="FFFFFF"/>
            </w:tcBorders>
            <w:shd w:val="clear" w:color="auto" w:fill="215967"/>
            <w:vAlign w:val="center"/>
            <w:hideMark/>
          </w:tcPr>
          <w:p w14:paraId="09B88170" w14:textId="7337492D" w:rsidR="001C3C40" w:rsidRPr="0071156E" w:rsidRDefault="00A719AC" w:rsidP="00F70D87">
            <w:pPr>
              <w:spacing w:after="0" w:line="240" w:lineRule="auto"/>
              <w:jc w:val="center"/>
              <w:rPr>
                <w:rFonts w:asciiTheme="majorHAnsi" w:eastAsia="Times New Roman" w:hAnsiTheme="majorHAnsi" w:cs="Arial"/>
                <w:b/>
                <w:bCs/>
                <w:i/>
                <w:iCs/>
                <w:color w:val="FFFFFF"/>
                <w:sz w:val="24"/>
                <w:szCs w:val="24"/>
              </w:rPr>
            </w:pPr>
            <w:r>
              <w:rPr>
                <w:rFonts w:asciiTheme="majorHAnsi" w:eastAsia="Times New Roman" w:hAnsiTheme="majorHAnsi" w:cs="Arial"/>
                <w:b/>
                <w:bCs/>
                <w:i/>
                <w:iCs/>
                <w:color w:val="FFFFFF"/>
                <w:sz w:val="24"/>
                <w:szCs w:val="24"/>
              </w:rPr>
              <w:t>SFY 201</w:t>
            </w:r>
            <w:r w:rsidR="0058217C">
              <w:rPr>
                <w:rFonts w:asciiTheme="majorHAnsi" w:eastAsia="Times New Roman" w:hAnsiTheme="majorHAnsi" w:cs="Arial"/>
                <w:b/>
                <w:bCs/>
                <w:i/>
                <w:iCs/>
                <w:color w:val="FFFFFF"/>
                <w:sz w:val="24"/>
                <w:szCs w:val="24"/>
              </w:rPr>
              <w:t>9</w:t>
            </w:r>
            <w:r w:rsidR="001C3C40" w:rsidRPr="0071156E">
              <w:rPr>
                <w:rFonts w:asciiTheme="majorHAnsi" w:eastAsia="Times New Roman" w:hAnsiTheme="majorHAnsi" w:cs="Arial"/>
                <w:b/>
                <w:bCs/>
                <w:i/>
                <w:iCs/>
                <w:color w:val="FFFFFF"/>
                <w:sz w:val="24"/>
                <w:szCs w:val="24"/>
              </w:rPr>
              <w:t xml:space="preserve"> QSPR</w:t>
            </w:r>
          </w:p>
        </w:tc>
        <w:tc>
          <w:tcPr>
            <w:tcW w:w="976" w:type="dxa"/>
            <w:tcBorders>
              <w:top w:val="single" w:sz="4" w:space="0" w:color="FFFFFF"/>
              <w:left w:val="nil"/>
              <w:bottom w:val="single" w:sz="4" w:space="0" w:color="FFFFFF"/>
              <w:right w:val="single" w:sz="4" w:space="0" w:color="FFFFFF"/>
            </w:tcBorders>
            <w:shd w:val="clear" w:color="auto" w:fill="215967"/>
            <w:vAlign w:val="center"/>
            <w:hideMark/>
          </w:tcPr>
          <w:p w14:paraId="064A5712" w14:textId="2AFF3038" w:rsidR="001C3C40" w:rsidRPr="0071156E" w:rsidRDefault="00A719AC" w:rsidP="00F70D87">
            <w:pPr>
              <w:spacing w:after="0" w:line="240" w:lineRule="auto"/>
              <w:jc w:val="center"/>
              <w:rPr>
                <w:rFonts w:asciiTheme="majorHAnsi" w:eastAsia="Times New Roman" w:hAnsiTheme="majorHAnsi" w:cs="Arial"/>
                <w:b/>
                <w:bCs/>
                <w:i/>
                <w:iCs/>
                <w:color w:val="FFFFFF"/>
                <w:sz w:val="24"/>
                <w:szCs w:val="24"/>
              </w:rPr>
            </w:pPr>
            <w:r>
              <w:rPr>
                <w:rFonts w:asciiTheme="majorHAnsi" w:eastAsia="Times New Roman" w:hAnsiTheme="majorHAnsi" w:cs="Arial"/>
                <w:b/>
                <w:bCs/>
                <w:i/>
                <w:iCs/>
                <w:color w:val="FFFFFF"/>
                <w:sz w:val="24"/>
                <w:szCs w:val="24"/>
              </w:rPr>
              <w:t>SFY 201</w:t>
            </w:r>
            <w:r w:rsidR="0058217C">
              <w:rPr>
                <w:rFonts w:asciiTheme="majorHAnsi" w:eastAsia="Times New Roman" w:hAnsiTheme="majorHAnsi" w:cs="Arial"/>
                <w:b/>
                <w:bCs/>
                <w:i/>
                <w:iCs/>
                <w:color w:val="FFFFFF"/>
                <w:sz w:val="24"/>
                <w:szCs w:val="24"/>
              </w:rPr>
              <w:t>8</w:t>
            </w:r>
            <w:r>
              <w:rPr>
                <w:rFonts w:asciiTheme="majorHAnsi" w:eastAsia="Times New Roman" w:hAnsiTheme="majorHAnsi" w:cs="Arial"/>
                <w:b/>
                <w:bCs/>
                <w:i/>
                <w:iCs/>
                <w:color w:val="FFFFFF"/>
                <w:sz w:val="24"/>
                <w:szCs w:val="24"/>
              </w:rPr>
              <w:t xml:space="preserve"> QSPR</w:t>
            </w:r>
          </w:p>
        </w:tc>
        <w:tc>
          <w:tcPr>
            <w:tcW w:w="920" w:type="dxa"/>
            <w:tcBorders>
              <w:top w:val="single" w:sz="4" w:space="0" w:color="FFFFFF"/>
              <w:left w:val="nil"/>
              <w:bottom w:val="single" w:sz="4" w:space="0" w:color="FFFFFF"/>
              <w:right w:val="single" w:sz="8" w:space="0" w:color="auto"/>
            </w:tcBorders>
            <w:shd w:val="clear" w:color="auto" w:fill="215967"/>
            <w:vAlign w:val="center"/>
            <w:hideMark/>
          </w:tcPr>
          <w:p w14:paraId="6CFAF58C" w14:textId="6CC2AD06" w:rsidR="001C3C40" w:rsidRPr="0071156E" w:rsidRDefault="00A719AC" w:rsidP="00F70D87">
            <w:pPr>
              <w:spacing w:after="0" w:line="240" w:lineRule="auto"/>
              <w:jc w:val="center"/>
              <w:rPr>
                <w:rFonts w:asciiTheme="majorHAnsi" w:eastAsia="Times New Roman" w:hAnsiTheme="majorHAnsi" w:cs="Arial"/>
                <w:b/>
                <w:bCs/>
                <w:i/>
                <w:iCs/>
                <w:color w:val="FFFFFF"/>
                <w:sz w:val="24"/>
                <w:szCs w:val="24"/>
              </w:rPr>
            </w:pPr>
            <w:r>
              <w:rPr>
                <w:rFonts w:asciiTheme="majorHAnsi" w:eastAsia="Times New Roman" w:hAnsiTheme="majorHAnsi" w:cs="Arial"/>
                <w:b/>
                <w:bCs/>
                <w:i/>
                <w:iCs/>
                <w:color w:val="FFFFFF"/>
                <w:sz w:val="24"/>
                <w:szCs w:val="24"/>
              </w:rPr>
              <w:t>Round 3 CFSR</w:t>
            </w:r>
          </w:p>
        </w:tc>
      </w:tr>
      <w:tr w:rsidR="00A719AC" w:rsidRPr="00003266" w14:paraId="72C3B193" w14:textId="77777777" w:rsidTr="0071156E">
        <w:trPr>
          <w:trHeight w:val="630"/>
          <w:jc w:val="center"/>
        </w:trPr>
        <w:tc>
          <w:tcPr>
            <w:tcW w:w="7740" w:type="dxa"/>
            <w:tcBorders>
              <w:top w:val="nil"/>
              <w:left w:val="single" w:sz="8" w:space="0" w:color="auto"/>
              <w:bottom w:val="single" w:sz="4" w:space="0" w:color="auto"/>
              <w:right w:val="single" w:sz="4" w:space="0" w:color="FFFFFF"/>
            </w:tcBorders>
            <w:shd w:val="clear" w:color="auto" w:fill="215967"/>
            <w:vAlign w:val="center"/>
            <w:hideMark/>
          </w:tcPr>
          <w:p w14:paraId="248F03D2" w14:textId="77777777" w:rsidR="00A719AC" w:rsidRPr="0071156E" w:rsidRDefault="00A719AC" w:rsidP="000F768C">
            <w:pPr>
              <w:spacing w:after="0" w:line="240" w:lineRule="auto"/>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szCs w:val="20"/>
              </w:rPr>
              <w:t>Safety 1: Children are, first and foremost, protected from abuse and neglect</w:t>
            </w:r>
          </w:p>
        </w:tc>
        <w:tc>
          <w:tcPr>
            <w:tcW w:w="920" w:type="dxa"/>
            <w:tcBorders>
              <w:top w:val="nil"/>
              <w:left w:val="nil"/>
              <w:bottom w:val="single" w:sz="4" w:space="0" w:color="auto"/>
              <w:right w:val="single" w:sz="4" w:space="0" w:color="FFFFFF"/>
            </w:tcBorders>
            <w:shd w:val="clear" w:color="auto" w:fill="215967"/>
            <w:vAlign w:val="center"/>
          </w:tcPr>
          <w:p w14:paraId="1D92519A" w14:textId="1AE9AB57" w:rsidR="00A719AC" w:rsidRPr="0071156E" w:rsidRDefault="0058217C" w:rsidP="000F768C">
            <w:pPr>
              <w:spacing w:after="0" w:line="240" w:lineRule="auto"/>
              <w:jc w:val="center"/>
              <w:rPr>
                <w:rFonts w:asciiTheme="majorHAnsi" w:eastAsia="Times New Roman" w:hAnsiTheme="majorHAnsi" w:cs="Arial"/>
                <w:b/>
                <w:bCs/>
                <w:color w:val="FFFFFF"/>
                <w:szCs w:val="20"/>
              </w:rPr>
            </w:pPr>
            <w:r>
              <w:rPr>
                <w:rFonts w:asciiTheme="majorHAnsi" w:eastAsia="Times New Roman" w:hAnsiTheme="majorHAnsi"/>
                <w:b/>
                <w:bCs/>
                <w:color w:val="FFFFFF"/>
                <w:sz w:val="24"/>
                <w:szCs w:val="24"/>
              </w:rPr>
              <w:t>87</w:t>
            </w:r>
            <w:r w:rsidR="00A719AC" w:rsidRPr="00D069AE">
              <w:rPr>
                <w:rFonts w:asciiTheme="majorHAnsi" w:eastAsia="Times New Roman" w:hAnsiTheme="majorHAnsi"/>
                <w:b/>
                <w:bCs/>
                <w:color w:val="FFFFFF"/>
                <w:sz w:val="24"/>
                <w:szCs w:val="24"/>
              </w:rPr>
              <w:t>%</w:t>
            </w:r>
          </w:p>
        </w:tc>
        <w:tc>
          <w:tcPr>
            <w:tcW w:w="976" w:type="dxa"/>
            <w:tcBorders>
              <w:top w:val="nil"/>
              <w:left w:val="nil"/>
              <w:bottom w:val="single" w:sz="4" w:space="0" w:color="auto"/>
              <w:right w:val="single" w:sz="4" w:space="0" w:color="FFFFFF"/>
            </w:tcBorders>
            <w:shd w:val="clear" w:color="auto" w:fill="215967"/>
            <w:vAlign w:val="center"/>
          </w:tcPr>
          <w:p w14:paraId="11515146" w14:textId="115ED7AA" w:rsidR="00A719AC" w:rsidRPr="0071156E" w:rsidRDefault="0058217C" w:rsidP="000F768C">
            <w:pPr>
              <w:spacing w:after="0" w:line="240" w:lineRule="auto"/>
              <w:jc w:val="center"/>
              <w:rPr>
                <w:rFonts w:asciiTheme="majorHAnsi" w:eastAsia="Times New Roman" w:hAnsiTheme="majorHAnsi" w:cs="Arial"/>
                <w:b/>
                <w:bCs/>
                <w:color w:val="FFFFFF"/>
                <w:szCs w:val="20"/>
              </w:rPr>
            </w:pPr>
            <w:r>
              <w:rPr>
                <w:rFonts w:asciiTheme="majorHAnsi" w:eastAsia="Times New Roman" w:hAnsiTheme="majorHAnsi" w:cs="Arial"/>
                <w:b/>
                <w:bCs/>
                <w:color w:val="FFFFFF"/>
                <w:sz w:val="24"/>
                <w:szCs w:val="24"/>
              </w:rPr>
              <w:t>7</w:t>
            </w:r>
            <w:r w:rsidR="00A719AC" w:rsidRPr="00486FCF">
              <w:rPr>
                <w:rFonts w:asciiTheme="majorHAnsi" w:eastAsia="Times New Roman" w:hAnsiTheme="majorHAnsi" w:cs="Arial"/>
                <w:b/>
                <w:bCs/>
                <w:color w:val="FFFFFF"/>
                <w:sz w:val="24"/>
                <w:szCs w:val="24"/>
              </w:rPr>
              <w:t>6%</w:t>
            </w:r>
          </w:p>
        </w:tc>
        <w:tc>
          <w:tcPr>
            <w:tcW w:w="920" w:type="dxa"/>
            <w:tcBorders>
              <w:top w:val="nil"/>
              <w:left w:val="nil"/>
              <w:bottom w:val="single" w:sz="4" w:space="0" w:color="auto"/>
              <w:right w:val="single" w:sz="8" w:space="0" w:color="auto"/>
            </w:tcBorders>
            <w:shd w:val="clear" w:color="auto" w:fill="215967"/>
            <w:noWrap/>
            <w:vAlign w:val="center"/>
          </w:tcPr>
          <w:p w14:paraId="77A7931D" w14:textId="05383D8F" w:rsidR="00A719AC" w:rsidRPr="0071156E" w:rsidRDefault="00A719AC" w:rsidP="000F768C">
            <w:pPr>
              <w:spacing w:after="0" w:line="240" w:lineRule="auto"/>
              <w:jc w:val="center"/>
              <w:rPr>
                <w:rFonts w:asciiTheme="majorHAnsi" w:eastAsia="Times New Roman" w:hAnsiTheme="majorHAnsi" w:cs="Arial"/>
                <w:b/>
                <w:bCs/>
                <w:color w:val="FFFFFF"/>
                <w:szCs w:val="20"/>
              </w:rPr>
            </w:pPr>
            <w:r w:rsidRPr="00486FCF">
              <w:rPr>
                <w:rFonts w:asciiTheme="majorHAnsi" w:eastAsia="Times New Roman" w:hAnsiTheme="majorHAnsi" w:cs="Arial"/>
                <w:b/>
                <w:bCs/>
                <w:color w:val="FFFFFF"/>
                <w:sz w:val="24"/>
                <w:szCs w:val="24"/>
              </w:rPr>
              <w:t>69%</w:t>
            </w:r>
          </w:p>
        </w:tc>
      </w:tr>
      <w:tr w:rsidR="00A719AC" w:rsidRPr="00003266" w14:paraId="49E7DC9A"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58803FEC" w14:textId="2E2620E1" w:rsidR="00A719AC" w:rsidRPr="0071156E" w:rsidRDefault="00A719AC" w:rsidP="0071156E">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szCs w:val="20"/>
              </w:rPr>
              <w:t xml:space="preserve">    Item 1: Timeliness of Initiating </w:t>
            </w:r>
            <w:r w:rsidR="00581E2E" w:rsidRPr="0071156E">
              <w:rPr>
                <w:rFonts w:asciiTheme="majorHAnsi" w:eastAsia="Times New Roman" w:hAnsiTheme="majorHAnsi" w:cs="Arial"/>
                <w:color w:val="000000"/>
                <w:szCs w:val="20"/>
              </w:rPr>
              <w:t>Investigations (</w:t>
            </w:r>
            <w:r w:rsidR="00DD7BB1">
              <w:rPr>
                <w:rFonts w:asciiTheme="majorHAnsi" w:eastAsia="Times New Roman" w:hAnsiTheme="majorHAnsi" w:cs="Arial"/>
                <w:color w:val="000000"/>
                <w:sz w:val="20"/>
                <w:szCs w:val="18"/>
              </w:rPr>
              <w:t>N=10</w:t>
            </w:r>
            <w:r w:rsidR="00816542">
              <w:rPr>
                <w:rFonts w:asciiTheme="majorHAnsi" w:eastAsia="Times New Roman" w:hAnsiTheme="majorHAnsi" w:cs="Arial"/>
                <w:color w:val="000000"/>
                <w:sz w:val="20"/>
                <w:szCs w:val="18"/>
              </w:rPr>
              <w:t>5</w:t>
            </w:r>
            <w:r w:rsidRPr="0071156E">
              <w:rPr>
                <w:rFonts w:asciiTheme="majorHAnsi" w:eastAsia="Times New Roman" w:hAnsiTheme="majorHAnsi" w:cs="Arial"/>
                <w:color w:val="000000"/>
                <w:sz w:val="20"/>
                <w:szCs w:val="18"/>
              </w:rPr>
              <w:t>)</w:t>
            </w:r>
          </w:p>
        </w:tc>
        <w:tc>
          <w:tcPr>
            <w:tcW w:w="920" w:type="dxa"/>
            <w:tcBorders>
              <w:top w:val="nil"/>
              <w:left w:val="nil"/>
              <w:bottom w:val="single" w:sz="4" w:space="0" w:color="auto"/>
              <w:right w:val="nil"/>
            </w:tcBorders>
            <w:shd w:val="clear" w:color="auto" w:fill="auto"/>
            <w:noWrap/>
            <w:vAlign w:val="center"/>
          </w:tcPr>
          <w:p w14:paraId="4B2133C0" w14:textId="343B72D0" w:rsidR="00A719AC" w:rsidRPr="0071156E" w:rsidRDefault="0058217C" w:rsidP="000F768C">
            <w:pPr>
              <w:spacing w:after="0" w:line="240" w:lineRule="auto"/>
              <w:jc w:val="center"/>
              <w:rPr>
                <w:rFonts w:asciiTheme="majorHAnsi" w:eastAsia="Times New Roman" w:hAnsiTheme="majorHAnsi" w:cs="Arial"/>
                <w:color w:val="000000"/>
                <w:szCs w:val="20"/>
              </w:rPr>
            </w:pPr>
            <w:r>
              <w:rPr>
                <w:rFonts w:asciiTheme="majorHAnsi" w:eastAsia="Times New Roman" w:hAnsiTheme="majorHAnsi"/>
                <w:color w:val="000000"/>
                <w:sz w:val="24"/>
                <w:szCs w:val="24"/>
              </w:rPr>
              <w:t>87</w:t>
            </w:r>
            <w:r w:rsidR="00A719AC" w:rsidRPr="00D069AE">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53CB1F9F" w14:textId="67B07432" w:rsidR="00A719AC" w:rsidRPr="0071156E" w:rsidRDefault="0058217C" w:rsidP="000F768C">
            <w:pPr>
              <w:spacing w:after="0" w:line="240" w:lineRule="auto"/>
              <w:jc w:val="center"/>
              <w:rPr>
                <w:rFonts w:asciiTheme="majorHAnsi" w:eastAsia="Times New Roman" w:hAnsiTheme="majorHAnsi" w:cs="Arial"/>
                <w:color w:val="000000"/>
                <w:szCs w:val="20"/>
              </w:rPr>
            </w:pPr>
            <w:r>
              <w:rPr>
                <w:rFonts w:asciiTheme="majorHAnsi" w:eastAsia="Times New Roman" w:hAnsiTheme="majorHAnsi" w:cs="Arial"/>
                <w:color w:val="000000"/>
                <w:sz w:val="24"/>
                <w:szCs w:val="24"/>
              </w:rPr>
              <w:t>7</w:t>
            </w:r>
            <w:r w:rsidR="00A719AC" w:rsidRPr="00486FCF">
              <w:rPr>
                <w:rFonts w:asciiTheme="majorHAnsi" w:eastAsia="Times New Roman" w:hAnsiTheme="majorHAnsi" w:cs="Arial"/>
                <w:color w:val="000000"/>
                <w:sz w:val="24"/>
                <w:szCs w:val="24"/>
              </w:rPr>
              <w:t>6%</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3288EC8E" w14:textId="40A43673" w:rsidR="00A719AC" w:rsidRPr="0071156E" w:rsidRDefault="00A719AC" w:rsidP="000F768C">
            <w:pPr>
              <w:spacing w:after="0" w:line="240" w:lineRule="auto"/>
              <w:jc w:val="center"/>
              <w:rPr>
                <w:rFonts w:asciiTheme="majorHAnsi" w:eastAsia="Times New Roman" w:hAnsiTheme="majorHAnsi" w:cs="Arial"/>
                <w:color w:val="000000"/>
                <w:szCs w:val="20"/>
              </w:rPr>
            </w:pPr>
            <w:r w:rsidRPr="00486FCF">
              <w:rPr>
                <w:rFonts w:asciiTheme="majorHAnsi" w:eastAsia="Times New Roman" w:hAnsiTheme="majorHAnsi" w:cs="Arial"/>
                <w:color w:val="000000"/>
                <w:sz w:val="24"/>
                <w:szCs w:val="24"/>
              </w:rPr>
              <w:t>69%</w:t>
            </w:r>
          </w:p>
        </w:tc>
      </w:tr>
      <w:tr w:rsidR="00A719AC" w:rsidRPr="00003266" w14:paraId="20511EF2" w14:textId="77777777" w:rsidTr="0071156E">
        <w:trPr>
          <w:trHeight w:val="630"/>
          <w:jc w:val="center"/>
        </w:trPr>
        <w:tc>
          <w:tcPr>
            <w:tcW w:w="7740" w:type="dxa"/>
            <w:tcBorders>
              <w:top w:val="nil"/>
              <w:left w:val="single" w:sz="8" w:space="0" w:color="auto"/>
              <w:bottom w:val="single" w:sz="4" w:space="0" w:color="auto"/>
              <w:right w:val="single" w:sz="4" w:space="0" w:color="FFFFFF"/>
            </w:tcBorders>
            <w:shd w:val="clear" w:color="auto" w:fill="215967"/>
            <w:vAlign w:val="center"/>
            <w:hideMark/>
          </w:tcPr>
          <w:p w14:paraId="5F06D1B1" w14:textId="77777777" w:rsidR="00A719AC" w:rsidRPr="0071156E" w:rsidRDefault="00A719AC" w:rsidP="000F768C">
            <w:pPr>
              <w:spacing w:after="0" w:line="240" w:lineRule="auto"/>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szCs w:val="20"/>
              </w:rPr>
              <w:t>Safety 2: Children are safely maintained in their homes whenever possible and appropriate</w:t>
            </w:r>
          </w:p>
        </w:tc>
        <w:tc>
          <w:tcPr>
            <w:tcW w:w="920" w:type="dxa"/>
            <w:tcBorders>
              <w:top w:val="nil"/>
              <w:left w:val="nil"/>
              <w:bottom w:val="single" w:sz="4" w:space="0" w:color="auto"/>
              <w:right w:val="single" w:sz="4" w:space="0" w:color="FFFFFF"/>
            </w:tcBorders>
            <w:shd w:val="clear" w:color="auto" w:fill="215967"/>
            <w:vAlign w:val="center"/>
          </w:tcPr>
          <w:p w14:paraId="23A753A9" w14:textId="77668BCF" w:rsidR="00A719AC" w:rsidRPr="0071156E" w:rsidRDefault="0058217C" w:rsidP="000F768C">
            <w:pPr>
              <w:spacing w:after="0" w:line="240" w:lineRule="auto"/>
              <w:jc w:val="center"/>
              <w:rPr>
                <w:rFonts w:asciiTheme="majorHAnsi" w:eastAsia="Times New Roman" w:hAnsiTheme="majorHAnsi" w:cs="Arial"/>
                <w:b/>
                <w:bCs/>
                <w:color w:val="FFFFFF"/>
                <w:szCs w:val="20"/>
              </w:rPr>
            </w:pPr>
            <w:r>
              <w:rPr>
                <w:rFonts w:asciiTheme="majorHAnsi" w:eastAsia="Times New Roman" w:hAnsiTheme="majorHAnsi"/>
                <w:b/>
                <w:bCs/>
                <w:color w:val="FFFFFF"/>
                <w:sz w:val="24"/>
                <w:szCs w:val="24"/>
              </w:rPr>
              <w:t>83</w:t>
            </w:r>
            <w:r w:rsidR="00A719AC" w:rsidRPr="00D069AE">
              <w:rPr>
                <w:rFonts w:asciiTheme="majorHAnsi" w:eastAsia="Times New Roman" w:hAnsiTheme="majorHAnsi"/>
                <w:b/>
                <w:bCs/>
                <w:color w:val="FFFFFF"/>
                <w:sz w:val="24"/>
                <w:szCs w:val="24"/>
              </w:rPr>
              <w:t>%</w:t>
            </w:r>
          </w:p>
        </w:tc>
        <w:tc>
          <w:tcPr>
            <w:tcW w:w="976" w:type="dxa"/>
            <w:tcBorders>
              <w:top w:val="nil"/>
              <w:left w:val="nil"/>
              <w:bottom w:val="single" w:sz="4" w:space="0" w:color="auto"/>
              <w:right w:val="nil"/>
            </w:tcBorders>
            <w:shd w:val="clear" w:color="auto" w:fill="215967"/>
            <w:vAlign w:val="center"/>
          </w:tcPr>
          <w:p w14:paraId="6541447F" w14:textId="340E88C0" w:rsidR="00A719AC" w:rsidRPr="0071156E" w:rsidRDefault="00A719AC" w:rsidP="000F768C">
            <w:pPr>
              <w:spacing w:after="0" w:line="240" w:lineRule="auto"/>
              <w:jc w:val="center"/>
              <w:rPr>
                <w:rFonts w:asciiTheme="majorHAnsi" w:eastAsia="Times New Roman" w:hAnsiTheme="majorHAnsi" w:cs="Arial"/>
                <w:b/>
                <w:bCs/>
                <w:color w:val="FFFFFF"/>
                <w:szCs w:val="20"/>
              </w:rPr>
            </w:pPr>
            <w:r w:rsidRPr="00486FCF">
              <w:rPr>
                <w:rFonts w:asciiTheme="majorHAnsi" w:eastAsia="Times New Roman" w:hAnsiTheme="majorHAnsi" w:cs="Arial"/>
                <w:b/>
                <w:bCs/>
                <w:color w:val="FFFFFF"/>
                <w:sz w:val="24"/>
                <w:szCs w:val="24"/>
              </w:rPr>
              <w:t>7</w:t>
            </w:r>
            <w:r w:rsidR="0058217C">
              <w:rPr>
                <w:rFonts w:asciiTheme="majorHAnsi" w:eastAsia="Times New Roman" w:hAnsiTheme="majorHAnsi" w:cs="Arial"/>
                <w:b/>
                <w:bCs/>
                <w:color w:val="FFFFFF"/>
                <w:sz w:val="24"/>
                <w:szCs w:val="24"/>
              </w:rPr>
              <w:t>0</w:t>
            </w:r>
            <w:r w:rsidRPr="00486FCF">
              <w:rPr>
                <w:rFonts w:asciiTheme="majorHAnsi" w:eastAsia="Times New Roman" w:hAnsiTheme="majorHAnsi" w:cs="Arial"/>
                <w:b/>
                <w:bCs/>
                <w:color w:val="FFFFFF"/>
                <w:sz w:val="24"/>
                <w:szCs w:val="24"/>
              </w:rPr>
              <w:t>%</w:t>
            </w:r>
          </w:p>
        </w:tc>
        <w:tc>
          <w:tcPr>
            <w:tcW w:w="920" w:type="dxa"/>
            <w:tcBorders>
              <w:top w:val="nil"/>
              <w:left w:val="single" w:sz="4" w:space="0" w:color="FFFFFF"/>
              <w:bottom w:val="single" w:sz="4" w:space="0" w:color="auto"/>
              <w:right w:val="single" w:sz="8" w:space="0" w:color="auto"/>
            </w:tcBorders>
            <w:shd w:val="clear" w:color="auto" w:fill="215967"/>
            <w:noWrap/>
            <w:vAlign w:val="center"/>
          </w:tcPr>
          <w:p w14:paraId="13EDAEA1" w14:textId="4FA502E5" w:rsidR="00A719AC" w:rsidRPr="0071156E" w:rsidRDefault="00A719AC" w:rsidP="000F768C">
            <w:pPr>
              <w:spacing w:after="0" w:line="240" w:lineRule="auto"/>
              <w:jc w:val="center"/>
              <w:rPr>
                <w:rFonts w:asciiTheme="majorHAnsi" w:eastAsia="Times New Roman" w:hAnsiTheme="majorHAnsi" w:cs="Arial"/>
                <w:b/>
                <w:bCs/>
                <w:color w:val="FFFFFF"/>
                <w:szCs w:val="20"/>
              </w:rPr>
            </w:pPr>
            <w:r w:rsidRPr="00486FCF">
              <w:rPr>
                <w:rFonts w:asciiTheme="majorHAnsi" w:eastAsia="Times New Roman" w:hAnsiTheme="majorHAnsi" w:cs="Arial"/>
                <w:b/>
                <w:bCs/>
                <w:color w:val="FFFFFF"/>
                <w:sz w:val="24"/>
                <w:szCs w:val="24"/>
              </w:rPr>
              <w:t>60%</w:t>
            </w:r>
          </w:p>
        </w:tc>
      </w:tr>
      <w:tr w:rsidR="00A719AC" w:rsidRPr="00003266" w14:paraId="786EC079"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631CF630" w14:textId="25485645" w:rsidR="00A719AC" w:rsidRPr="0071156E" w:rsidRDefault="00A719AC" w:rsidP="000F768C">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szCs w:val="20"/>
              </w:rPr>
              <w:t xml:space="preserve">    Item 2: Services to Prevent </w:t>
            </w:r>
            <w:r w:rsidR="00581E2E" w:rsidRPr="0071156E">
              <w:rPr>
                <w:rFonts w:asciiTheme="majorHAnsi" w:eastAsia="Times New Roman" w:hAnsiTheme="majorHAnsi" w:cs="Arial"/>
                <w:color w:val="000000"/>
                <w:szCs w:val="20"/>
              </w:rPr>
              <w:t>Removal (</w:t>
            </w:r>
            <w:r w:rsidR="00DD7BB1">
              <w:rPr>
                <w:rFonts w:asciiTheme="majorHAnsi" w:eastAsia="Times New Roman" w:hAnsiTheme="majorHAnsi" w:cs="Arial"/>
                <w:color w:val="000000"/>
                <w:sz w:val="20"/>
                <w:szCs w:val="18"/>
              </w:rPr>
              <w:t>N=5</w:t>
            </w:r>
            <w:r w:rsidR="00816542">
              <w:rPr>
                <w:rFonts w:asciiTheme="majorHAnsi" w:eastAsia="Times New Roman" w:hAnsiTheme="majorHAnsi" w:cs="Arial"/>
                <w:color w:val="000000"/>
                <w:sz w:val="20"/>
                <w:szCs w:val="18"/>
              </w:rPr>
              <w:t>0</w:t>
            </w:r>
            <w:r w:rsidRPr="0071156E">
              <w:rPr>
                <w:rFonts w:asciiTheme="majorHAnsi" w:eastAsia="Times New Roman" w:hAnsiTheme="majorHAnsi" w:cs="Arial"/>
                <w:color w:val="000000"/>
                <w:sz w:val="20"/>
                <w:szCs w:val="18"/>
              </w:rPr>
              <w:t>)</w:t>
            </w:r>
          </w:p>
        </w:tc>
        <w:tc>
          <w:tcPr>
            <w:tcW w:w="920" w:type="dxa"/>
            <w:tcBorders>
              <w:top w:val="nil"/>
              <w:left w:val="nil"/>
              <w:bottom w:val="single" w:sz="4" w:space="0" w:color="auto"/>
              <w:right w:val="nil"/>
            </w:tcBorders>
            <w:shd w:val="clear" w:color="auto" w:fill="auto"/>
            <w:noWrap/>
            <w:vAlign w:val="center"/>
          </w:tcPr>
          <w:p w14:paraId="691D8C31" w14:textId="34CA6A46" w:rsidR="00A719AC" w:rsidRPr="0071156E" w:rsidRDefault="0058217C" w:rsidP="000F768C">
            <w:pPr>
              <w:spacing w:after="0" w:line="240" w:lineRule="auto"/>
              <w:jc w:val="center"/>
              <w:rPr>
                <w:rFonts w:asciiTheme="majorHAnsi" w:eastAsia="Times New Roman" w:hAnsiTheme="majorHAnsi" w:cs="Arial"/>
                <w:color w:val="000000"/>
                <w:szCs w:val="20"/>
              </w:rPr>
            </w:pPr>
            <w:r>
              <w:rPr>
                <w:rFonts w:asciiTheme="majorHAnsi" w:eastAsia="Times New Roman" w:hAnsiTheme="majorHAnsi"/>
                <w:color w:val="000000"/>
                <w:sz w:val="24"/>
                <w:szCs w:val="24"/>
              </w:rPr>
              <w:t>94</w:t>
            </w:r>
            <w:r w:rsidR="00A719AC" w:rsidRPr="00D069AE">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2D981E33" w14:textId="545BDF43" w:rsidR="00A719AC" w:rsidRPr="0071156E" w:rsidRDefault="0058217C" w:rsidP="000F768C">
            <w:pPr>
              <w:spacing w:after="0" w:line="240" w:lineRule="auto"/>
              <w:jc w:val="center"/>
              <w:rPr>
                <w:rFonts w:asciiTheme="majorHAnsi" w:eastAsia="Times New Roman" w:hAnsiTheme="majorHAnsi" w:cs="Arial"/>
                <w:color w:val="000000"/>
                <w:szCs w:val="20"/>
              </w:rPr>
            </w:pPr>
            <w:r>
              <w:rPr>
                <w:rFonts w:asciiTheme="majorHAnsi" w:eastAsia="Times New Roman" w:hAnsiTheme="majorHAnsi" w:cs="Arial"/>
                <w:color w:val="000000"/>
                <w:sz w:val="24"/>
                <w:szCs w:val="24"/>
              </w:rPr>
              <w:t>75</w:t>
            </w:r>
            <w:r w:rsidR="00A719AC" w:rsidRPr="00486FCF">
              <w:rPr>
                <w:rFonts w:asciiTheme="majorHAnsi" w:eastAsia="Times New Roman" w:hAnsiTheme="majorHAnsi" w:cs="Arial"/>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3FCB61AB" w14:textId="39E2DD72" w:rsidR="00A719AC" w:rsidRPr="0071156E" w:rsidRDefault="00A719AC" w:rsidP="000F768C">
            <w:pPr>
              <w:spacing w:after="0" w:line="240" w:lineRule="auto"/>
              <w:jc w:val="center"/>
              <w:rPr>
                <w:rFonts w:asciiTheme="majorHAnsi" w:eastAsia="Times New Roman" w:hAnsiTheme="majorHAnsi" w:cs="Arial"/>
                <w:color w:val="000000"/>
                <w:szCs w:val="20"/>
              </w:rPr>
            </w:pPr>
            <w:r w:rsidRPr="00486FCF">
              <w:rPr>
                <w:rFonts w:asciiTheme="majorHAnsi" w:eastAsia="Times New Roman" w:hAnsiTheme="majorHAnsi" w:cs="Arial"/>
                <w:color w:val="000000"/>
                <w:sz w:val="24"/>
                <w:szCs w:val="24"/>
              </w:rPr>
              <w:t>55%</w:t>
            </w:r>
          </w:p>
        </w:tc>
      </w:tr>
      <w:tr w:rsidR="00A719AC" w:rsidRPr="00003266" w14:paraId="69738011"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4BDADC9D" w14:textId="36260415" w:rsidR="00A719AC" w:rsidRPr="0071156E" w:rsidRDefault="00A719AC" w:rsidP="000F768C">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szCs w:val="20"/>
              </w:rPr>
              <w:t xml:space="preserve">    Item 3: Risk and Safety Assessment and </w:t>
            </w:r>
            <w:r w:rsidR="00581E2E" w:rsidRPr="0071156E">
              <w:rPr>
                <w:rFonts w:asciiTheme="majorHAnsi" w:eastAsia="Times New Roman" w:hAnsiTheme="majorHAnsi" w:cs="Arial"/>
                <w:color w:val="000000"/>
                <w:szCs w:val="20"/>
              </w:rPr>
              <w:t>Management (</w:t>
            </w:r>
            <w:r w:rsidR="00DD7BB1">
              <w:rPr>
                <w:rFonts w:asciiTheme="majorHAnsi" w:eastAsia="Times New Roman" w:hAnsiTheme="majorHAnsi" w:cs="Arial"/>
                <w:color w:val="000000"/>
                <w:sz w:val="20"/>
                <w:szCs w:val="18"/>
              </w:rPr>
              <w:t>N=20</w:t>
            </w:r>
            <w:r>
              <w:rPr>
                <w:rFonts w:asciiTheme="majorHAnsi" w:eastAsia="Times New Roman" w:hAnsiTheme="majorHAnsi" w:cs="Arial"/>
                <w:color w:val="000000"/>
                <w:sz w:val="20"/>
                <w:szCs w:val="18"/>
              </w:rPr>
              <w:t>0</w:t>
            </w:r>
            <w:r w:rsidRPr="0071156E">
              <w:rPr>
                <w:rFonts w:asciiTheme="majorHAnsi" w:eastAsia="Times New Roman" w:hAnsiTheme="majorHAnsi" w:cs="Arial"/>
                <w:color w:val="000000"/>
                <w:sz w:val="20"/>
                <w:szCs w:val="18"/>
              </w:rPr>
              <w:t>)</w:t>
            </w:r>
          </w:p>
        </w:tc>
        <w:tc>
          <w:tcPr>
            <w:tcW w:w="920" w:type="dxa"/>
            <w:tcBorders>
              <w:top w:val="nil"/>
              <w:left w:val="nil"/>
              <w:bottom w:val="single" w:sz="4" w:space="0" w:color="auto"/>
              <w:right w:val="nil"/>
            </w:tcBorders>
            <w:shd w:val="clear" w:color="auto" w:fill="auto"/>
            <w:noWrap/>
            <w:vAlign w:val="center"/>
          </w:tcPr>
          <w:p w14:paraId="264E5A37" w14:textId="6390F364" w:rsidR="00A719AC" w:rsidRPr="0071156E" w:rsidRDefault="0058217C" w:rsidP="000F768C">
            <w:pPr>
              <w:spacing w:after="0" w:line="240" w:lineRule="auto"/>
              <w:jc w:val="center"/>
              <w:rPr>
                <w:rFonts w:asciiTheme="majorHAnsi" w:eastAsia="Times New Roman" w:hAnsiTheme="majorHAnsi" w:cs="Arial"/>
                <w:color w:val="000000"/>
                <w:szCs w:val="20"/>
              </w:rPr>
            </w:pPr>
            <w:r>
              <w:rPr>
                <w:rFonts w:asciiTheme="majorHAnsi" w:eastAsia="Times New Roman" w:hAnsiTheme="majorHAnsi"/>
                <w:color w:val="000000"/>
                <w:sz w:val="24"/>
                <w:szCs w:val="24"/>
              </w:rPr>
              <w:t>83</w:t>
            </w:r>
            <w:r w:rsidR="00A719AC" w:rsidRPr="00D069AE">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26E7A807" w14:textId="00F9931B" w:rsidR="00A719AC" w:rsidRPr="0071156E" w:rsidRDefault="00A719AC" w:rsidP="000F768C">
            <w:pPr>
              <w:spacing w:after="0" w:line="240" w:lineRule="auto"/>
              <w:jc w:val="center"/>
              <w:rPr>
                <w:rFonts w:asciiTheme="majorHAnsi" w:eastAsia="Times New Roman" w:hAnsiTheme="majorHAnsi" w:cs="Arial"/>
                <w:color w:val="000000"/>
                <w:szCs w:val="20"/>
              </w:rPr>
            </w:pPr>
            <w:r w:rsidRPr="00486FCF">
              <w:rPr>
                <w:rFonts w:asciiTheme="majorHAnsi" w:eastAsia="Times New Roman" w:hAnsiTheme="majorHAnsi" w:cs="Arial"/>
                <w:color w:val="000000"/>
                <w:sz w:val="24"/>
                <w:szCs w:val="24"/>
              </w:rPr>
              <w:t>71%</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2025E94A" w14:textId="1C61EE75" w:rsidR="00A719AC" w:rsidRPr="0071156E" w:rsidRDefault="00A719AC" w:rsidP="000F768C">
            <w:pPr>
              <w:spacing w:after="0" w:line="240" w:lineRule="auto"/>
              <w:jc w:val="center"/>
              <w:rPr>
                <w:rFonts w:asciiTheme="majorHAnsi" w:eastAsia="Times New Roman" w:hAnsiTheme="majorHAnsi" w:cs="Arial"/>
                <w:color w:val="000000"/>
                <w:szCs w:val="20"/>
              </w:rPr>
            </w:pPr>
            <w:r w:rsidRPr="00486FCF">
              <w:rPr>
                <w:rFonts w:asciiTheme="majorHAnsi" w:eastAsia="Times New Roman" w:hAnsiTheme="majorHAnsi" w:cs="Arial"/>
                <w:color w:val="000000"/>
                <w:sz w:val="24"/>
                <w:szCs w:val="24"/>
              </w:rPr>
              <w:t>61%</w:t>
            </w:r>
          </w:p>
        </w:tc>
      </w:tr>
      <w:tr w:rsidR="00A719AC" w:rsidRPr="00003266" w14:paraId="609DE550" w14:textId="77777777" w:rsidTr="0071156E">
        <w:trPr>
          <w:trHeight w:val="630"/>
          <w:jc w:val="center"/>
        </w:trPr>
        <w:tc>
          <w:tcPr>
            <w:tcW w:w="7740" w:type="dxa"/>
            <w:tcBorders>
              <w:top w:val="nil"/>
              <w:left w:val="single" w:sz="8" w:space="0" w:color="auto"/>
              <w:bottom w:val="single" w:sz="4" w:space="0" w:color="auto"/>
              <w:right w:val="single" w:sz="4" w:space="0" w:color="FFFFFF"/>
            </w:tcBorders>
            <w:shd w:val="clear" w:color="auto" w:fill="215967"/>
            <w:vAlign w:val="center"/>
            <w:hideMark/>
          </w:tcPr>
          <w:p w14:paraId="0F04F142" w14:textId="77777777" w:rsidR="00A719AC" w:rsidRPr="0071156E" w:rsidRDefault="00A719AC" w:rsidP="00F70D87">
            <w:pPr>
              <w:spacing w:after="0" w:line="240" w:lineRule="auto"/>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rPr>
              <w:t>Permanency 1: Children have permanency and stability in their living situations</w:t>
            </w:r>
          </w:p>
        </w:tc>
        <w:tc>
          <w:tcPr>
            <w:tcW w:w="920" w:type="dxa"/>
            <w:tcBorders>
              <w:top w:val="nil"/>
              <w:left w:val="nil"/>
              <w:bottom w:val="single" w:sz="4" w:space="0" w:color="auto"/>
              <w:right w:val="single" w:sz="4" w:space="0" w:color="FFFFFF"/>
            </w:tcBorders>
            <w:shd w:val="clear" w:color="auto" w:fill="215967"/>
            <w:vAlign w:val="center"/>
          </w:tcPr>
          <w:p w14:paraId="4BA825BA" w14:textId="4AD62C4D" w:rsidR="00A719AC" w:rsidRPr="0071156E" w:rsidRDefault="00A719AC" w:rsidP="00F70D87">
            <w:pPr>
              <w:spacing w:after="0" w:line="240" w:lineRule="auto"/>
              <w:jc w:val="center"/>
              <w:rPr>
                <w:rFonts w:asciiTheme="majorHAnsi" w:eastAsia="Times New Roman" w:hAnsiTheme="majorHAnsi" w:cs="Arial"/>
                <w:b/>
                <w:bCs/>
                <w:color w:val="FFFFFF"/>
              </w:rPr>
            </w:pPr>
            <w:r w:rsidRPr="0041336D">
              <w:rPr>
                <w:rFonts w:asciiTheme="majorHAnsi" w:eastAsia="Times New Roman" w:hAnsiTheme="majorHAnsi"/>
                <w:b/>
                <w:bCs/>
                <w:color w:val="FFFFFF"/>
                <w:sz w:val="24"/>
                <w:szCs w:val="24"/>
              </w:rPr>
              <w:t>4</w:t>
            </w:r>
            <w:r w:rsidR="0058217C">
              <w:rPr>
                <w:rFonts w:asciiTheme="majorHAnsi" w:eastAsia="Times New Roman" w:hAnsiTheme="majorHAnsi"/>
                <w:b/>
                <w:bCs/>
                <w:color w:val="FFFFFF"/>
                <w:sz w:val="24"/>
                <w:szCs w:val="24"/>
              </w:rPr>
              <w:t>8</w:t>
            </w:r>
            <w:r w:rsidRPr="0041336D">
              <w:rPr>
                <w:rFonts w:asciiTheme="majorHAnsi" w:eastAsia="Times New Roman" w:hAnsiTheme="majorHAnsi"/>
                <w:b/>
                <w:bCs/>
                <w:color w:val="FFFFFF"/>
                <w:sz w:val="24"/>
                <w:szCs w:val="24"/>
              </w:rPr>
              <w:t>%</w:t>
            </w:r>
          </w:p>
        </w:tc>
        <w:tc>
          <w:tcPr>
            <w:tcW w:w="976" w:type="dxa"/>
            <w:tcBorders>
              <w:top w:val="nil"/>
              <w:left w:val="nil"/>
              <w:bottom w:val="single" w:sz="4" w:space="0" w:color="auto"/>
              <w:right w:val="single" w:sz="4" w:space="0" w:color="FFFFFF"/>
            </w:tcBorders>
            <w:shd w:val="clear" w:color="auto" w:fill="215967"/>
            <w:vAlign w:val="center"/>
          </w:tcPr>
          <w:p w14:paraId="0CBC259E" w14:textId="156E722C" w:rsidR="00A719AC" w:rsidRPr="0071156E" w:rsidRDefault="0058217C" w:rsidP="00F70D87">
            <w:pPr>
              <w:spacing w:after="0" w:line="240" w:lineRule="auto"/>
              <w:jc w:val="center"/>
              <w:rPr>
                <w:rFonts w:asciiTheme="majorHAnsi" w:eastAsia="Times New Roman" w:hAnsiTheme="majorHAnsi" w:cs="Arial"/>
                <w:b/>
                <w:bCs/>
                <w:color w:val="FFFFFF"/>
              </w:rPr>
            </w:pPr>
            <w:r>
              <w:rPr>
                <w:rFonts w:asciiTheme="majorHAnsi" w:eastAsia="Times New Roman" w:hAnsiTheme="majorHAnsi"/>
                <w:b/>
                <w:bCs/>
                <w:color w:val="FFFFFF"/>
                <w:sz w:val="24"/>
                <w:szCs w:val="24"/>
              </w:rPr>
              <w:t>46</w:t>
            </w:r>
            <w:r w:rsidR="00A719AC" w:rsidRPr="0041336D">
              <w:rPr>
                <w:rFonts w:asciiTheme="majorHAnsi" w:eastAsia="Times New Roman" w:hAnsiTheme="majorHAnsi"/>
                <w:b/>
                <w:bCs/>
                <w:color w:val="FFFFFF"/>
                <w:sz w:val="24"/>
                <w:szCs w:val="24"/>
              </w:rPr>
              <w:t>%</w:t>
            </w:r>
          </w:p>
        </w:tc>
        <w:tc>
          <w:tcPr>
            <w:tcW w:w="920" w:type="dxa"/>
            <w:tcBorders>
              <w:top w:val="nil"/>
              <w:left w:val="nil"/>
              <w:bottom w:val="single" w:sz="4" w:space="0" w:color="auto"/>
              <w:right w:val="single" w:sz="8" w:space="0" w:color="auto"/>
            </w:tcBorders>
            <w:shd w:val="clear" w:color="auto" w:fill="215967"/>
            <w:noWrap/>
            <w:vAlign w:val="center"/>
          </w:tcPr>
          <w:p w14:paraId="28FBD818" w14:textId="168BFBCE" w:rsidR="00A719AC" w:rsidRPr="0071156E" w:rsidRDefault="00A719AC" w:rsidP="000F768C">
            <w:pPr>
              <w:spacing w:after="0" w:line="240" w:lineRule="auto"/>
              <w:jc w:val="center"/>
              <w:rPr>
                <w:rFonts w:asciiTheme="majorHAnsi" w:eastAsia="Times New Roman" w:hAnsiTheme="majorHAnsi" w:cs="Arial"/>
                <w:b/>
                <w:bCs/>
                <w:color w:val="FFFFFF"/>
              </w:rPr>
            </w:pPr>
            <w:r w:rsidRPr="0041336D">
              <w:rPr>
                <w:rFonts w:asciiTheme="majorHAnsi" w:eastAsia="Times New Roman" w:hAnsiTheme="majorHAnsi"/>
                <w:b/>
                <w:bCs/>
                <w:color w:val="FFFFFF"/>
                <w:sz w:val="24"/>
                <w:szCs w:val="24"/>
              </w:rPr>
              <w:t>36%</w:t>
            </w:r>
          </w:p>
        </w:tc>
      </w:tr>
      <w:tr w:rsidR="00A719AC" w:rsidRPr="00003266" w14:paraId="381093AF"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24730AAD" w14:textId="5E56AE21"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4:  Stability of Foster Care </w:t>
            </w:r>
            <w:r w:rsidR="00581E2E" w:rsidRPr="0071156E">
              <w:rPr>
                <w:rFonts w:asciiTheme="majorHAnsi" w:eastAsia="Times New Roman" w:hAnsiTheme="majorHAnsi" w:cs="Arial"/>
                <w:color w:val="000000"/>
              </w:rPr>
              <w:t>Placement (</w:t>
            </w:r>
            <w:r w:rsidR="00DD7BB1">
              <w:rPr>
                <w:rFonts w:asciiTheme="majorHAnsi" w:eastAsia="Times New Roman" w:hAnsiTheme="majorHAnsi" w:cs="Arial"/>
                <w:color w:val="000000"/>
                <w:sz w:val="20"/>
                <w:szCs w:val="20"/>
              </w:rPr>
              <w:t>N=120</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6C6D55CD" w14:textId="491EC08D"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7</w:t>
            </w:r>
            <w:r w:rsidR="0058217C">
              <w:rPr>
                <w:rFonts w:asciiTheme="majorHAnsi" w:eastAsia="Times New Roman" w:hAnsiTheme="majorHAnsi"/>
                <w:color w:val="000000"/>
                <w:sz w:val="24"/>
                <w:szCs w:val="24"/>
              </w:rPr>
              <w:t>3</w:t>
            </w:r>
            <w:r w:rsidRPr="0041336D">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39819A33" w14:textId="3BCDAE66" w:rsidR="00A719AC" w:rsidRPr="0071156E"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75</w:t>
            </w:r>
            <w:r w:rsidR="00A719AC" w:rsidRPr="0041336D">
              <w:rPr>
                <w:rFonts w:asciiTheme="majorHAnsi" w:eastAsia="Times New Roman" w:hAnsiTheme="majorHAnsi"/>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3C0572C4" w14:textId="01BF7102"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70%</w:t>
            </w:r>
          </w:p>
        </w:tc>
      </w:tr>
      <w:tr w:rsidR="00A719AC" w:rsidRPr="00003266" w14:paraId="1F15665F"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6EFE692D" w14:textId="7A075421"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5:  Permanency Goal for </w:t>
            </w:r>
            <w:r w:rsidR="00581E2E" w:rsidRPr="0071156E">
              <w:rPr>
                <w:rFonts w:asciiTheme="majorHAnsi" w:eastAsia="Times New Roman" w:hAnsiTheme="majorHAnsi" w:cs="Arial"/>
                <w:color w:val="000000"/>
              </w:rPr>
              <w:t>Child (</w:t>
            </w:r>
            <w:r w:rsidR="00DD7BB1">
              <w:rPr>
                <w:rFonts w:asciiTheme="majorHAnsi" w:eastAsia="Times New Roman" w:hAnsiTheme="majorHAnsi" w:cs="Arial"/>
                <w:color w:val="000000"/>
                <w:sz w:val="20"/>
                <w:szCs w:val="20"/>
              </w:rPr>
              <w:t>N=120</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3115E3ED" w14:textId="5CA85C57" w:rsidR="00A719AC" w:rsidRPr="0071156E"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80</w:t>
            </w:r>
            <w:r w:rsidR="00A719AC" w:rsidRPr="0041336D">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2FD5C940" w14:textId="51DEDEDF"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72%</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37966109" w14:textId="4D9A577F"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64%</w:t>
            </w:r>
          </w:p>
        </w:tc>
      </w:tr>
      <w:tr w:rsidR="00A719AC" w:rsidRPr="00003266" w14:paraId="6DA35516"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130504A9" w14:textId="7E02564A"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6:  Achieving Reunification, Guardianship, Adoption or </w:t>
            </w:r>
            <w:r w:rsidR="00581E2E" w:rsidRPr="0071156E">
              <w:rPr>
                <w:rFonts w:asciiTheme="majorHAnsi" w:eastAsia="Times New Roman" w:hAnsiTheme="majorHAnsi" w:cs="Arial"/>
                <w:color w:val="000000"/>
              </w:rPr>
              <w:t>APPLA (</w:t>
            </w:r>
            <w:r w:rsidR="00DD7BB1">
              <w:rPr>
                <w:rFonts w:asciiTheme="majorHAnsi" w:eastAsia="Times New Roman" w:hAnsiTheme="majorHAnsi" w:cs="Arial"/>
                <w:color w:val="000000"/>
                <w:sz w:val="20"/>
                <w:szCs w:val="20"/>
              </w:rPr>
              <w:t>N=120</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42907912" w14:textId="41EB54EA" w:rsidR="00A719AC" w:rsidRPr="00A719AC"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76</w:t>
            </w:r>
            <w:r w:rsidR="00A719AC" w:rsidRPr="00A719AC">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3B8191CA" w14:textId="7C2570A4"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6</w:t>
            </w:r>
            <w:r w:rsidR="0058217C">
              <w:rPr>
                <w:rFonts w:asciiTheme="majorHAnsi" w:eastAsia="Times New Roman" w:hAnsiTheme="majorHAnsi"/>
                <w:color w:val="000000"/>
                <w:sz w:val="24"/>
                <w:szCs w:val="24"/>
              </w:rPr>
              <w:t>9</w:t>
            </w:r>
            <w:r w:rsidRPr="0041336D">
              <w:rPr>
                <w:rFonts w:asciiTheme="majorHAnsi" w:eastAsia="Times New Roman" w:hAnsiTheme="majorHAnsi"/>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74C2BB96" w14:textId="569EE4B4"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58%</w:t>
            </w:r>
          </w:p>
        </w:tc>
      </w:tr>
      <w:tr w:rsidR="00A719AC" w:rsidRPr="00003266" w14:paraId="25B7B778" w14:textId="77777777" w:rsidTr="0071156E">
        <w:trPr>
          <w:trHeight w:val="630"/>
          <w:jc w:val="center"/>
        </w:trPr>
        <w:tc>
          <w:tcPr>
            <w:tcW w:w="7740" w:type="dxa"/>
            <w:tcBorders>
              <w:top w:val="nil"/>
              <w:left w:val="single" w:sz="8" w:space="0" w:color="auto"/>
              <w:bottom w:val="single" w:sz="4" w:space="0" w:color="auto"/>
              <w:right w:val="single" w:sz="4" w:space="0" w:color="FFFFFF"/>
            </w:tcBorders>
            <w:shd w:val="clear" w:color="auto" w:fill="215967"/>
            <w:vAlign w:val="center"/>
            <w:hideMark/>
          </w:tcPr>
          <w:p w14:paraId="2E0426E7" w14:textId="77777777" w:rsidR="00A719AC" w:rsidRPr="0071156E" w:rsidRDefault="00A719AC" w:rsidP="00F70D87">
            <w:pPr>
              <w:spacing w:after="0" w:line="240" w:lineRule="auto"/>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rPr>
              <w:t>Permanency 2: The continuity of family relationships and connections is preserved for children</w:t>
            </w:r>
          </w:p>
        </w:tc>
        <w:tc>
          <w:tcPr>
            <w:tcW w:w="920" w:type="dxa"/>
            <w:tcBorders>
              <w:top w:val="nil"/>
              <w:left w:val="nil"/>
              <w:bottom w:val="single" w:sz="4" w:space="0" w:color="auto"/>
              <w:right w:val="single" w:sz="4" w:space="0" w:color="FFFFFF"/>
            </w:tcBorders>
            <w:shd w:val="clear" w:color="auto" w:fill="215967"/>
            <w:vAlign w:val="center"/>
          </w:tcPr>
          <w:p w14:paraId="705533C6" w14:textId="435F4966" w:rsidR="00A719AC" w:rsidRPr="00A719AC" w:rsidRDefault="0058217C" w:rsidP="00F70D87">
            <w:pPr>
              <w:spacing w:after="0" w:line="240" w:lineRule="auto"/>
              <w:jc w:val="center"/>
              <w:rPr>
                <w:rFonts w:asciiTheme="majorHAnsi" w:eastAsia="Times New Roman" w:hAnsiTheme="majorHAnsi" w:cs="Arial"/>
                <w:b/>
                <w:bCs/>
                <w:color w:val="FFFFFF"/>
              </w:rPr>
            </w:pPr>
            <w:r>
              <w:rPr>
                <w:rFonts w:asciiTheme="majorHAnsi" w:eastAsia="Times New Roman" w:hAnsiTheme="majorHAnsi"/>
                <w:b/>
                <w:bCs/>
                <w:color w:val="FFFFFF"/>
                <w:sz w:val="24"/>
                <w:szCs w:val="24"/>
              </w:rPr>
              <w:t>80</w:t>
            </w:r>
            <w:r w:rsidR="00A719AC" w:rsidRPr="00A719AC">
              <w:rPr>
                <w:rFonts w:asciiTheme="majorHAnsi" w:eastAsia="Times New Roman" w:hAnsiTheme="majorHAnsi"/>
                <w:b/>
                <w:bCs/>
                <w:color w:val="FFFFFF"/>
                <w:sz w:val="24"/>
                <w:szCs w:val="24"/>
              </w:rPr>
              <w:t>%</w:t>
            </w:r>
          </w:p>
        </w:tc>
        <w:tc>
          <w:tcPr>
            <w:tcW w:w="976" w:type="dxa"/>
            <w:tcBorders>
              <w:top w:val="nil"/>
              <w:left w:val="nil"/>
              <w:bottom w:val="single" w:sz="4" w:space="0" w:color="auto"/>
              <w:right w:val="nil"/>
            </w:tcBorders>
            <w:shd w:val="clear" w:color="auto" w:fill="215967"/>
            <w:vAlign w:val="center"/>
          </w:tcPr>
          <w:p w14:paraId="0FB01431" w14:textId="398FB7C7" w:rsidR="00A719AC" w:rsidRPr="0071156E" w:rsidRDefault="00A719AC" w:rsidP="00F70D87">
            <w:pPr>
              <w:spacing w:after="0" w:line="240" w:lineRule="auto"/>
              <w:jc w:val="center"/>
              <w:rPr>
                <w:rFonts w:asciiTheme="majorHAnsi" w:eastAsia="Times New Roman" w:hAnsiTheme="majorHAnsi" w:cs="Arial"/>
                <w:b/>
                <w:bCs/>
                <w:color w:val="FFFFFF"/>
              </w:rPr>
            </w:pPr>
            <w:r w:rsidRPr="0041336D">
              <w:rPr>
                <w:rFonts w:asciiTheme="majorHAnsi" w:eastAsia="Times New Roman" w:hAnsiTheme="majorHAnsi"/>
                <w:b/>
                <w:bCs/>
                <w:color w:val="FFFFFF"/>
                <w:sz w:val="24"/>
                <w:szCs w:val="24"/>
              </w:rPr>
              <w:t>6</w:t>
            </w:r>
            <w:r w:rsidR="0058217C">
              <w:rPr>
                <w:rFonts w:asciiTheme="majorHAnsi" w:eastAsia="Times New Roman" w:hAnsiTheme="majorHAnsi"/>
                <w:b/>
                <w:bCs/>
                <w:color w:val="FFFFFF"/>
                <w:sz w:val="24"/>
                <w:szCs w:val="24"/>
              </w:rPr>
              <w:t>5</w:t>
            </w:r>
            <w:r w:rsidRPr="0041336D">
              <w:rPr>
                <w:rFonts w:asciiTheme="majorHAnsi" w:eastAsia="Times New Roman" w:hAnsiTheme="majorHAnsi"/>
                <w:b/>
                <w:bCs/>
                <w:color w:val="FFFFFF"/>
                <w:sz w:val="24"/>
                <w:szCs w:val="24"/>
              </w:rPr>
              <w:t>%</w:t>
            </w:r>
          </w:p>
        </w:tc>
        <w:tc>
          <w:tcPr>
            <w:tcW w:w="920" w:type="dxa"/>
            <w:tcBorders>
              <w:top w:val="nil"/>
              <w:left w:val="single" w:sz="4" w:space="0" w:color="FFFFFF"/>
              <w:bottom w:val="single" w:sz="4" w:space="0" w:color="auto"/>
              <w:right w:val="single" w:sz="8" w:space="0" w:color="auto"/>
            </w:tcBorders>
            <w:shd w:val="clear" w:color="auto" w:fill="215967"/>
            <w:noWrap/>
            <w:vAlign w:val="center"/>
          </w:tcPr>
          <w:p w14:paraId="71034695" w14:textId="6E411DB4" w:rsidR="00A719AC" w:rsidRPr="0071156E" w:rsidRDefault="00A719AC" w:rsidP="00F70D87">
            <w:pPr>
              <w:spacing w:after="0" w:line="240" w:lineRule="auto"/>
              <w:jc w:val="center"/>
              <w:rPr>
                <w:rFonts w:asciiTheme="majorHAnsi" w:eastAsia="Times New Roman" w:hAnsiTheme="majorHAnsi" w:cs="Arial"/>
                <w:b/>
                <w:bCs/>
                <w:color w:val="FFFFFF"/>
              </w:rPr>
            </w:pPr>
            <w:r w:rsidRPr="0041336D">
              <w:rPr>
                <w:rFonts w:asciiTheme="majorHAnsi" w:eastAsia="Times New Roman" w:hAnsiTheme="majorHAnsi"/>
                <w:b/>
                <w:bCs/>
                <w:color w:val="FFFFFF"/>
                <w:sz w:val="24"/>
                <w:szCs w:val="24"/>
              </w:rPr>
              <w:t>43%</w:t>
            </w:r>
          </w:p>
        </w:tc>
      </w:tr>
      <w:tr w:rsidR="00A719AC" w:rsidRPr="00003266" w14:paraId="714D12FF"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14063B75" w14:textId="56328555"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7: Placement with </w:t>
            </w:r>
            <w:r w:rsidR="00581E2E" w:rsidRPr="0071156E">
              <w:rPr>
                <w:rFonts w:asciiTheme="majorHAnsi" w:eastAsia="Times New Roman" w:hAnsiTheme="majorHAnsi" w:cs="Arial"/>
                <w:color w:val="000000"/>
              </w:rPr>
              <w:t>Siblings (</w:t>
            </w:r>
            <w:r w:rsidR="00DD7BB1">
              <w:rPr>
                <w:rFonts w:asciiTheme="majorHAnsi" w:eastAsia="Times New Roman" w:hAnsiTheme="majorHAnsi" w:cs="Arial"/>
                <w:color w:val="000000"/>
                <w:sz w:val="20"/>
                <w:szCs w:val="20"/>
              </w:rPr>
              <w:t>N=84</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4E23A835" w14:textId="598A3272" w:rsidR="00A719AC" w:rsidRPr="00A719AC"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75</w:t>
            </w:r>
            <w:r w:rsidR="00A719AC" w:rsidRPr="00A719AC">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48F8D5A4" w14:textId="25BE217F" w:rsidR="00A719AC" w:rsidRPr="0071156E"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68</w:t>
            </w:r>
            <w:r w:rsidR="00A719AC" w:rsidRPr="0041336D">
              <w:rPr>
                <w:rFonts w:asciiTheme="majorHAnsi" w:eastAsia="Times New Roman" w:hAnsiTheme="majorHAnsi"/>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0D28CCFF" w14:textId="40E7AA20"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47%</w:t>
            </w:r>
          </w:p>
        </w:tc>
      </w:tr>
      <w:tr w:rsidR="00A719AC" w:rsidRPr="00003266" w14:paraId="022B7E2B"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34DEC1F7" w14:textId="3D3E9D4B"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8: Visiting with Parents and Siblings in Foster </w:t>
            </w:r>
            <w:r w:rsidR="00581E2E" w:rsidRPr="0071156E">
              <w:rPr>
                <w:rFonts w:asciiTheme="majorHAnsi" w:eastAsia="Times New Roman" w:hAnsiTheme="majorHAnsi" w:cs="Arial"/>
                <w:color w:val="000000"/>
              </w:rPr>
              <w:t>Care (</w:t>
            </w:r>
            <w:r w:rsidR="00DD7BB1">
              <w:rPr>
                <w:rFonts w:asciiTheme="majorHAnsi" w:eastAsia="Times New Roman" w:hAnsiTheme="majorHAnsi" w:cs="Arial"/>
                <w:color w:val="000000"/>
                <w:sz w:val="20"/>
                <w:szCs w:val="20"/>
              </w:rPr>
              <w:t>N=9</w:t>
            </w:r>
            <w:r w:rsidR="00816542">
              <w:rPr>
                <w:rFonts w:asciiTheme="majorHAnsi" w:eastAsia="Times New Roman" w:hAnsiTheme="majorHAnsi" w:cs="Arial"/>
                <w:color w:val="000000"/>
                <w:sz w:val="20"/>
                <w:szCs w:val="20"/>
              </w:rPr>
              <w:t>3</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60C3E7FC" w14:textId="4F7BDDE2"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heme="majorHAnsi" w:eastAsia="Times New Roman" w:hAnsiTheme="majorHAnsi"/>
                <w:color w:val="000000"/>
                <w:sz w:val="24"/>
                <w:szCs w:val="24"/>
              </w:rPr>
              <w:t>8</w:t>
            </w:r>
            <w:r w:rsidR="0058217C">
              <w:rPr>
                <w:rFonts w:asciiTheme="majorHAnsi" w:eastAsia="Times New Roman" w:hAnsiTheme="majorHAnsi"/>
                <w:color w:val="000000"/>
                <w:sz w:val="24"/>
                <w:szCs w:val="24"/>
              </w:rPr>
              <w:t>6</w:t>
            </w:r>
            <w:r w:rsidRPr="00A719AC">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56A7A4C8" w14:textId="5DFBF82C" w:rsidR="00A719AC" w:rsidRPr="0071156E"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85</w:t>
            </w:r>
            <w:r w:rsidR="00A719AC" w:rsidRPr="0041336D">
              <w:rPr>
                <w:rFonts w:asciiTheme="majorHAnsi" w:eastAsia="Times New Roman" w:hAnsiTheme="majorHAnsi"/>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78697E9E" w14:textId="5459FED4"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64%</w:t>
            </w:r>
          </w:p>
        </w:tc>
      </w:tr>
      <w:tr w:rsidR="00A719AC" w:rsidRPr="00003266" w14:paraId="13EAE8D2"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5993FA62" w14:textId="75316866"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9: Preserving </w:t>
            </w:r>
            <w:r w:rsidR="00581E2E" w:rsidRPr="0071156E">
              <w:rPr>
                <w:rFonts w:asciiTheme="majorHAnsi" w:eastAsia="Times New Roman" w:hAnsiTheme="majorHAnsi" w:cs="Arial"/>
                <w:color w:val="000000"/>
              </w:rPr>
              <w:t>Connections (</w:t>
            </w:r>
            <w:r w:rsidR="00DD7BB1">
              <w:rPr>
                <w:rFonts w:asciiTheme="majorHAnsi" w:eastAsia="Times New Roman" w:hAnsiTheme="majorHAnsi" w:cs="Arial"/>
                <w:color w:val="000000"/>
                <w:sz w:val="20"/>
                <w:szCs w:val="20"/>
              </w:rPr>
              <w:t>N=118</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1CF95560" w14:textId="266C9E5B" w:rsidR="00A719AC" w:rsidRPr="00A719AC"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73</w:t>
            </w:r>
            <w:r w:rsidR="00A719AC" w:rsidRPr="00A719AC">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244D1134" w14:textId="3003D1E4" w:rsidR="00A719AC" w:rsidRPr="0071156E"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67</w:t>
            </w:r>
            <w:r w:rsidR="00A719AC" w:rsidRPr="0041336D">
              <w:rPr>
                <w:rFonts w:asciiTheme="majorHAnsi" w:eastAsia="Times New Roman" w:hAnsiTheme="majorHAnsi"/>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3B99BCC0" w14:textId="66830453"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49%</w:t>
            </w:r>
          </w:p>
        </w:tc>
      </w:tr>
      <w:tr w:rsidR="00A719AC" w:rsidRPr="00003266" w14:paraId="53B54842"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35F27650" w14:textId="7755B44B"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10: Relative </w:t>
            </w:r>
            <w:r w:rsidR="00581E2E" w:rsidRPr="0071156E">
              <w:rPr>
                <w:rFonts w:asciiTheme="majorHAnsi" w:eastAsia="Times New Roman" w:hAnsiTheme="majorHAnsi" w:cs="Arial"/>
                <w:color w:val="000000"/>
              </w:rPr>
              <w:t>Placement (</w:t>
            </w:r>
            <w:r w:rsidR="00DD7BB1">
              <w:rPr>
                <w:rFonts w:asciiTheme="majorHAnsi" w:eastAsia="Times New Roman" w:hAnsiTheme="majorHAnsi" w:cs="Arial"/>
                <w:color w:val="000000"/>
                <w:sz w:val="20"/>
                <w:szCs w:val="20"/>
              </w:rPr>
              <w:t>N=11</w:t>
            </w:r>
            <w:r w:rsidR="00816542">
              <w:rPr>
                <w:rFonts w:asciiTheme="majorHAnsi" w:eastAsia="Times New Roman" w:hAnsiTheme="majorHAnsi" w:cs="Arial"/>
                <w:color w:val="000000"/>
                <w:sz w:val="20"/>
                <w:szCs w:val="20"/>
              </w:rPr>
              <w:t>8</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31B1B37B" w14:textId="668F9C47" w:rsidR="00A719AC" w:rsidRPr="00A719AC"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94</w:t>
            </w:r>
            <w:r w:rsidR="00A719AC" w:rsidRPr="00A719AC">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093F360D" w14:textId="2E6B3C11" w:rsidR="00A719AC" w:rsidRPr="0071156E"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82</w:t>
            </w:r>
            <w:r w:rsidR="00A719AC" w:rsidRPr="0041336D">
              <w:rPr>
                <w:rFonts w:asciiTheme="majorHAnsi" w:eastAsia="Times New Roman" w:hAnsiTheme="majorHAnsi"/>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59094552" w14:textId="517EFD97"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70%</w:t>
            </w:r>
          </w:p>
        </w:tc>
      </w:tr>
      <w:tr w:rsidR="00A719AC" w:rsidRPr="00003266" w14:paraId="1C20CD70"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6CA1F446" w14:textId="4EEF38B2" w:rsidR="00A719AC" w:rsidRPr="0071156E" w:rsidRDefault="00A719AC" w:rsidP="00486FCF">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11: Relationship of Child in Care with </w:t>
            </w:r>
            <w:r w:rsidR="00581E2E" w:rsidRPr="0071156E">
              <w:rPr>
                <w:rFonts w:asciiTheme="majorHAnsi" w:eastAsia="Times New Roman" w:hAnsiTheme="majorHAnsi" w:cs="Arial"/>
                <w:color w:val="000000"/>
              </w:rPr>
              <w:t>Parents (</w:t>
            </w:r>
            <w:r w:rsidRPr="0071156E">
              <w:rPr>
                <w:rFonts w:asciiTheme="majorHAnsi" w:eastAsia="Times New Roman" w:hAnsiTheme="majorHAnsi" w:cs="Arial"/>
                <w:color w:val="000000"/>
                <w:sz w:val="20"/>
                <w:szCs w:val="20"/>
              </w:rPr>
              <w:t>N=</w:t>
            </w:r>
            <w:r w:rsidR="00DD7BB1">
              <w:rPr>
                <w:rFonts w:asciiTheme="majorHAnsi" w:eastAsia="Times New Roman" w:hAnsiTheme="majorHAnsi" w:cs="Arial"/>
                <w:color w:val="000000"/>
                <w:sz w:val="20"/>
                <w:szCs w:val="20"/>
              </w:rPr>
              <w:t>8</w:t>
            </w:r>
            <w:r w:rsidR="00816542">
              <w:rPr>
                <w:rFonts w:asciiTheme="majorHAnsi" w:eastAsia="Times New Roman" w:hAnsiTheme="majorHAnsi" w:cs="Arial"/>
                <w:color w:val="000000"/>
                <w:sz w:val="20"/>
                <w:szCs w:val="20"/>
              </w:rPr>
              <w:t>1</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1C251BA4" w14:textId="173C982D" w:rsidR="00A719AC" w:rsidRPr="00A719AC"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54</w:t>
            </w:r>
            <w:r w:rsidR="00A719AC" w:rsidRPr="00A719AC">
              <w:rPr>
                <w:rFonts w:asciiTheme="majorHAnsi" w:eastAsia="Times New Roman" w:hAnsiTheme="majorHAnsi"/>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56A21FF1" w14:textId="0AA6ADA6" w:rsidR="00A719AC" w:rsidRPr="0071156E" w:rsidRDefault="0058217C" w:rsidP="00F70D87">
            <w:pPr>
              <w:spacing w:after="0" w:line="240" w:lineRule="auto"/>
              <w:jc w:val="center"/>
              <w:rPr>
                <w:rFonts w:asciiTheme="majorHAnsi" w:eastAsia="Times New Roman" w:hAnsiTheme="majorHAnsi" w:cs="Arial"/>
                <w:color w:val="000000"/>
              </w:rPr>
            </w:pPr>
            <w:r>
              <w:rPr>
                <w:rFonts w:asciiTheme="majorHAnsi" w:eastAsia="Times New Roman" w:hAnsiTheme="majorHAnsi"/>
                <w:color w:val="000000"/>
                <w:sz w:val="24"/>
                <w:szCs w:val="24"/>
              </w:rPr>
              <w:t>33</w:t>
            </w:r>
            <w:r w:rsidR="00A719AC" w:rsidRPr="0041336D">
              <w:rPr>
                <w:rFonts w:asciiTheme="majorHAnsi" w:eastAsia="Times New Roman" w:hAnsiTheme="majorHAnsi"/>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24B057B0" w14:textId="21E56A70" w:rsidR="00A719AC" w:rsidRPr="0071156E" w:rsidRDefault="00A719AC" w:rsidP="00F70D87">
            <w:pPr>
              <w:spacing w:after="0" w:line="240" w:lineRule="auto"/>
              <w:jc w:val="center"/>
              <w:rPr>
                <w:rFonts w:asciiTheme="majorHAnsi" w:eastAsia="Times New Roman" w:hAnsiTheme="majorHAnsi" w:cs="Arial"/>
                <w:color w:val="000000"/>
              </w:rPr>
            </w:pPr>
            <w:r w:rsidRPr="0041336D">
              <w:rPr>
                <w:rFonts w:asciiTheme="majorHAnsi" w:eastAsia="Times New Roman" w:hAnsiTheme="majorHAnsi"/>
                <w:color w:val="000000"/>
                <w:sz w:val="24"/>
                <w:szCs w:val="24"/>
              </w:rPr>
              <w:t>48%</w:t>
            </w:r>
          </w:p>
        </w:tc>
      </w:tr>
      <w:tr w:rsidR="00A719AC" w:rsidRPr="00003266" w14:paraId="731F787A" w14:textId="77777777" w:rsidTr="0071156E">
        <w:trPr>
          <w:trHeight w:val="630"/>
          <w:jc w:val="center"/>
        </w:trPr>
        <w:tc>
          <w:tcPr>
            <w:tcW w:w="7740" w:type="dxa"/>
            <w:tcBorders>
              <w:top w:val="nil"/>
              <w:left w:val="single" w:sz="8" w:space="0" w:color="auto"/>
              <w:bottom w:val="single" w:sz="4" w:space="0" w:color="auto"/>
              <w:right w:val="single" w:sz="4" w:space="0" w:color="FFFFFF"/>
            </w:tcBorders>
            <w:shd w:val="clear" w:color="auto" w:fill="215967"/>
            <w:vAlign w:val="center"/>
            <w:hideMark/>
          </w:tcPr>
          <w:p w14:paraId="3175F4A4" w14:textId="77777777" w:rsidR="00A719AC" w:rsidRPr="0071156E" w:rsidRDefault="00A719AC" w:rsidP="00F70D87">
            <w:pPr>
              <w:spacing w:after="0" w:line="240" w:lineRule="auto"/>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rPr>
              <w:t>Well-Being 1: Families have enhanced capacity to provide for their children’s needs</w:t>
            </w:r>
          </w:p>
        </w:tc>
        <w:tc>
          <w:tcPr>
            <w:tcW w:w="920" w:type="dxa"/>
            <w:tcBorders>
              <w:top w:val="nil"/>
              <w:left w:val="nil"/>
              <w:bottom w:val="single" w:sz="4" w:space="0" w:color="auto"/>
              <w:right w:val="single" w:sz="4" w:space="0" w:color="FFFFFF"/>
            </w:tcBorders>
            <w:shd w:val="clear" w:color="auto" w:fill="215967"/>
            <w:vAlign w:val="center"/>
          </w:tcPr>
          <w:p w14:paraId="1536FED6" w14:textId="37606EBB" w:rsidR="00A719AC" w:rsidRPr="00A719AC" w:rsidRDefault="0058217C" w:rsidP="00F70D87">
            <w:pPr>
              <w:spacing w:after="0" w:line="240" w:lineRule="auto"/>
              <w:jc w:val="center"/>
              <w:rPr>
                <w:rFonts w:asciiTheme="majorHAnsi" w:eastAsia="Times New Roman" w:hAnsiTheme="majorHAnsi" w:cs="Arial"/>
                <w:b/>
                <w:bCs/>
                <w:color w:val="FFFFFF"/>
              </w:rPr>
            </w:pPr>
            <w:r>
              <w:rPr>
                <w:rFonts w:ascii="Times New Roman" w:eastAsia="Times New Roman" w:hAnsi="Times New Roman"/>
                <w:b/>
                <w:bCs/>
                <w:color w:val="FFFFFF"/>
                <w:sz w:val="24"/>
                <w:szCs w:val="24"/>
              </w:rPr>
              <w:t>60</w:t>
            </w:r>
            <w:r w:rsidR="00A719AC" w:rsidRPr="00A719AC">
              <w:rPr>
                <w:rFonts w:ascii="Times New Roman" w:eastAsia="Times New Roman" w:hAnsi="Times New Roman"/>
                <w:b/>
                <w:bCs/>
                <w:color w:val="FFFFFF"/>
                <w:sz w:val="24"/>
                <w:szCs w:val="24"/>
              </w:rPr>
              <w:t>%</w:t>
            </w:r>
          </w:p>
        </w:tc>
        <w:tc>
          <w:tcPr>
            <w:tcW w:w="976" w:type="dxa"/>
            <w:tcBorders>
              <w:top w:val="nil"/>
              <w:left w:val="nil"/>
              <w:bottom w:val="single" w:sz="4" w:space="0" w:color="auto"/>
              <w:right w:val="nil"/>
            </w:tcBorders>
            <w:shd w:val="clear" w:color="auto" w:fill="215967"/>
            <w:vAlign w:val="center"/>
          </w:tcPr>
          <w:p w14:paraId="79DB279D" w14:textId="0984C2F8" w:rsidR="00A719AC" w:rsidRPr="00A719AC" w:rsidRDefault="0058217C" w:rsidP="00F70D87">
            <w:pPr>
              <w:spacing w:after="0" w:line="240" w:lineRule="auto"/>
              <w:jc w:val="center"/>
              <w:rPr>
                <w:rFonts w:asciiTheme="majorHAnsi" w:eastAsia="Times New Roman" w:hAnsiTheme="majorHAnsi" w:cs="Arial"/>
                <w:b/>
                <w:bCs/>
                <w:color w:val="FFFFFF"/>
              </w:rPr>
            </w:pPr>
            <w:r>
              <w:rPr>
                <w:rFonts w:ascii="Times New Roman" w:eastAsia="Times New Roman" w:hAnsi="Times New Roman"/>
                <w:b/>
                <w:bCs/>
                <w:color w:val="FFFFFF"/>
                <w:sz w:val="24"/>
                <w:szCs w:val="24"/>
              </w:rPr>
              <w:t>51</w:t>
            </w:r>
            <w:r w:rsidR="00A719AC" w:rsidRPr="00A719AC">
              <w:rPr>
                <w:rFonts w:ascii="Times New Roman" w:eastAsia="Times New Roman" w:hAnsi="Times New Roman"/>
                <w:b/>
                <w:bCs/>
                <w:color w:val="FFFFFF"/>
                <w:sz w:val="24"/>
                <w:szCs w:val="24"/>
              </w:rPr>
              <w:t>%</w:t>
            </w:r>
          </w:p>
        </w:tc>
        <w:tc>
          <w:tcPr>
            <w:tcW w:w="920" w:type="dxa"/>
            <w:tcBorders>
              <w:top w:val="nil"/>
              <w:left w:val="single" w:sz="4" w:space="0" w:color="FFFFFF"/>
              <w:bottom w:val="single" w:sz="4" w:space="0" w:color="auto"/>
              <w:right w:val="single" w:sz="8" w:space="0" w:color="auto"/>
            </w:tcBorders>
            <w:shd w:val="clear" w:color="auto" w:fill="215967"/>
            <w:noWrap/>
            <w:vAlign w:val="center"/>
          </w:tcPr>
          <w:p w14:paraId="678BA400" w14:textId="39FE8CC7" w:rsidR="00A719AC" w:rsidRPr="00A719AC" w:rsidRDefault="00A719AC" w:rsidP="00F70D87">
            <w:pPr>
              <w:spacing w:after="0" w:line="240" w:lineRule="auto"/>
              <w:jc w:val="center"/>
              <w:rPr>
                <w:rFonts w:asciiTheme="majorHAnsi" w:eastAsia="Times New Roman" w:hAnsiTheme="majorHAnsi" w:cs="Arial"/>
                <w:b/>
                <w:bCs/>
                <w:color w:val="FFFFFF"/>
              </w:rPr>
            </w:pPr>
            <w:r w:rsidRPr="00A719AC">
              <w:rPr>
                <w:rFonts w:ascii="Times New Roman" w:eastAsia="Times New Roman" w:hAnsi="Times New Roman"/>
                <w:b/>
                <w:bCs/>
                <w:color w:val="FFFFFF"/>
                <w:sz w:val="24"/>
                <w:szCs w:val="24"/>
              </w:rPr>
              <w:t>39%</w:t>
            </w:r>
          </w:p>
        </w:tc>
      </w:tr>
      <w:tr w:rsidR="00A719AC" w:rsidRPr="00003266" w14:paraId="6DF9A5C2"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195DD06A" w14:textId="34E3E887"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12: Needs and Services of Child, Parents and Foster </w:t>
            </w:r>
            <w:r w:rsidR="00581E2E" w:rsidRPr="0071156E">
              <w:rPr>
                <w:rFonts w:asciiTheme="majorHAnsi" w:eastAsia="Times New Roman" w:hAnsiTheme="majorHAnsi" w:cs="Arial"/>
                <w:color w:val="000000"/>
              </w:rPr>
              <w:t>Parents (</w:t>
            </w:r>
            <w:r w:rsidR="00CF2853">
              <w:rPr>
                <w:rFonts w:asciiTheme="majorHAnsi" w:eastAsia="Times New Roman" w:hAnsiTheme="majorHAnsi" w:cs="Arial"/>
                <w:color w:val="000000"/>
                <w:sz w:val="20"/>
                <w:szCs w:val="20"/>
              </w:rPr>
              <w:t>N=200</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3F114228" w14:textId="45385F10" w:rsidR="00A719AC" w:rsidRPr="00A719AC" w:rsidRDefault="0058217C"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63</w:t>
            </w:r>
            <w:r w:rsidR="00A719AC" w:rsidRPr="00A719AC">
              <w:rPr>
                <w:rFonts w:ascii="Times New Roman" w:eastAsia="Times New Roman" w:hAnsi="Times New Roman"/>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1423D598" w14:textId="1EA3C0C8" w:rsidR="00A719AC" w:rsidRPr="00A719AC" w:rsidRDefault="0058217C"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57</w:t>
            </w:r>
            <w:r w:rsidR="00A719AC" w:rsidRPr="00A719AC">
              <w:rPr>
                <w:rFonts w:ascii="Times New Roman" w:eastAsia="Times New Roman" w:hAnsi="Times New Roman"/>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3DC5F29F" w14:textId="08A0B4A9"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43%</w:t>
            </w:r>
          </w:p>
        </w:tc>
      </w:tr>
      <w:tr w:rsidR="00A719AC" w:rsidRPr="00003266" w14:paraId="143FDBD7"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1D59082D" w14:textId="3E6D1268"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13: Child and Family Involvement in Case </w:t>
            </w:r>
            <w:r w:rsidR="00581E2E" w:rsidRPr="0071156E">
              <w:rPr>
                <w:rFonts w:asciiTheme="majorHAnsi" w:eastAsia="Times New Roman" w:hAnsiTheme="majorHAnsi" w:cs="Arial"/>
                <w:color w:val="000000"/>
              </w:rPr>
              <w:t>Planning (</w:t>
            </w:r>
            <w:r w:rsidR="00CF2853">
              <w:rPr>
                <w:rFonts w:asciiTheme="majorHAnsi" w:eastAsia="Times New Roman" w:hAnsiTheme="majorHAnsi" w:cs="Arial"/>
                <w:color w:val="000000"/>
                <w:sz w:val="20"/>
                <w:szCs w:val="20"/>
              </w:rPr>
              <w:t>N=1</w:t>
            </w:r>
            <w:r w:rsidR="00816542">
              <w:rPr>
                <w:rFonts w:asciiTheme="majorHAnsi" w:eastAsia="Times New Roman" w:hAnsiTheme="majorHAnsi" w:cs="Arial"/>
                <w:color w:val="000000"/>
                <w:sz w:val="20"/>
                <w:szCs w:val="20"/>
              </w:rPr>
              <w:t>90</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7B9B7432" w14:textId="03D655BB" w:rsidR="00A719AC" w:rsidRPr="00A719AC" w:rsidRDefault="0058217C"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76</w:t>
            </w:r>
            <w:r w:rsidR="00A719AC" w:rsidRPr="00A719AC">
              <w:rPr>
                <w:rFonts w:ascii="Times New Roman" w:eastAsia="Times New Roman" w:hAnsi="Times New Roman"/>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15C597CE" w14:textId="50A3ABCB" w:rsidR="00A719AC" w:rsidRPr="00A719AC" w:rsidRDefault="0058217C"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69</w:t>
            </w:r>
            <w:r w:rsidR="00A719AC" w:rsidRPr="00A719AC">
              <w:rPr>
                <w:rFonts w:ascii="Times New Roman" w:eastAsia="Times New Roman" w:hAnsi="Times New Roman"/>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585D7434" w14:textId="7D226F52"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51%</w:t>
            </w:r>
          </w:p>
        </w:tc>
      </w:tr>
      <w:tr w:rsidR="00A719AC" w:rsidRPr="00003266" w14:paraId="7BC8C344"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70E17EA0" w14:textId="23A6C888"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14: Caseworker Visits with </w:t>
            </w:r>
            <w:r w:rsidR="00581E2E" w:rsidRPr="0071156E">
              <w:rPr>
                <w:rFonts w:asciiTheme="majorHAnsi" w:eastAsia="Times New Roman" w:hAnsiTheme="majorHAnsi" w:cs="Arial"/>
                <w:color w:val="000000"/>
              </w:rPr>
              <w:t>Child (</w:t>
            </w:r>
            <w:r w:rsidR="00CF2853">
              <w:rPr>
                <w:rFonts w:asciiTheme="majorHAnsi" w:eastAsia="Times New Roman" w:hAnsiTheme="majorHAnsi" w:cs="Arial"/>
                <w:color w:val="000000"/>
                <w:sz w:val="20"/>
                <w:szCs w:val="20"/>
              </w:rPr>
              <w:t>N=200</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15C3B0D2" w14:textId="320261D0" w:rsidR="00A719AC" w:rsidRPr="00A719AC" w:rsidRDefault="00816542"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84</w:t>
            </w:r>
            <w:r w:rsidR="00A719AC" w:rsidRPr="00A719AC">
              <w:rPr>
                <w:rFonts w:ascii="Times New Roman" w:eastAsia="Times New Roman" w:hAnsi="Times New Roman"/>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0F6322F6" w14:textId="206F44F4"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6</w:t>
            </w:r>
            <w:r w:rsidR="0058217C">
              <w:rPr>
                <w:rFonts w:ascii="Times New Roman" w:eastAsia="Times New Roman" w:hAnsi="Times New Roman"/>
                <w:color w:val="000000"/>
                <w:sz w:val="24"/>
                <w:szCs w:val="24"/>
              </w:rPr>
              <w:t>7</w:t>
            </w:r>
            <w:r w:rsidRPr="00A719AC">
              <w:rPr>
                <w:rFonts w:ascii="Times New Roman" w:eastAsia="Times New Roman" w:hAnsi="Times New Roman"/>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6940F375" w14:textId="2D483F7A"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64%</w:t>
            </w:r>
          </w:p>
        </w:tc>
      </w:tr>
      <w:tr w:rsidR="00A719AC" w:rsidRPr="00003266" w14:paraId="1E83C91B"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5FF7F9E4" w14:textId="3ACB0D7A" w:rsidR="00A719AC" w:rsidRPr="0071156E" w:rsidRDefault="00A719AC" w:rsidP="00486FCF">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15: Caseworker Visits with </w:t>
            </w:r>
            <w:r w:rsidR="00581E2E" w:rsidRPr="0071156E">
              <w:rPr>
                <w:rFonts w:asciiTheme="majorHAnsi" w:eastAsia="Times New Roman" w:hAnsiTheme="majorHAnsi" w:cs="Arial"/>
                <w:color w:val="000000"/>
              </w:rPr>
              <w:t>Parents (</w:t>
            </w:r>
            <w:r w:rsidRPr="0071156E">
              <w:rPr>
                <w:rFonts w:asciiTheme="majorHAnsi" w:eastAsia="Times New Roman" w:hAnsiTheme="majorHAnsi" w:cs="Arial"/>
                <w:color w:val="000000"/>
                <w:sz w:val="20"/>
                <w:szCs w:val="20"/>
              </w:rPr>
              <w:t>N=1</w:t>
            </w:r>
            <w:r w:rsidR="00816542">
              <w:rPr>
                <w:rFonts w:asciiTheme="majorHAnsi" w:eastAsia="Times New Roman" w:hAnsiTheme="majorHAnsi" w:cs="Arial"/>
                <w:color w:val="000000"/>
                <w:sz w:val="20"/>
                <w:szCs w:val="20"/>
              </w:rPr>
              <w:t>67</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473A9923" w14:textId="2468CB08" w:rsidR="00A719AC" w:rsidRPr="00A719AC" w:rsidRDefault="00816542"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59</w:t>
            </w:r>
            <w:r w:rsidR="00A719AC" w:rsidRPr="00A719AC">
              <w:rPr>
                <w:rFonts w:ascii="Times New Roman" w:eastAsia="Times New Roman" w:hAnsi="Times New Roman"/>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2E11B07A" w14:textId="6341A681"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5</w:t>
            </w:r>
            <w:r w:rsidR="0058217C">
              <w:rPr>
                <w:rFonts w:ascii="Times New Roman" w:eastAsia="Times New Roman" w:hAnsi="Times New Roman"/>
                <w:color w:val="000000"/>
                <w:sz w:val="24"/>
                <w:szCs w:val="24"/>
              </w:rPr>
              <w:t>8</w:t>
            </w:r>
            <w:r w:rsidRPr="00A719AC">
              <w:rPr>
                <w:rFonts w:ascii="Times New Roman" w:eastAsia="Times New Roman" w:hAnsi="Times New Roman"/>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77AC0D36" w14:textId="75551982"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48%</w:t>
            </w:r>
          </w:p>
        </w:tc>
      </w:tr>
      <w:tr w:rsidR="00A719AC" w:rsidRPr="00003266" w14:paraId="0A55940F" w14:textId="77777777" w:rsidTr="0071156E">
        <w:trPr>
          <w:trHeight w:val="630"/>
          <w:jc w:val="center"/>
        </w:trPr>
        <w:tc>
          <w:tcPr>
            <w:tcW w:w="7740" w:type="dxa"/>
            <w:tcBorders>
              <w:top w:val="nil"/>
              <w:left w:val="single" w:sz="8" w:space="0" w:color="auto"/>
              <w:bottom w:val="single" w:sz="4" w:space="0" w:color="auto"/>
              <w:right w:val="single" w:sz="4" w:space="0" w:color="FFFFFF"/>
            </w:tcBorders>
            <w:shd w:val="clear" w:color="auto" w:fill="215967"/>
            <w:vAlign w:val="center"/>
            <w:hideMark/>
          </w:tcPr>
          <w:p w14:paraId="40C6C748" w14:textId="77777777" w:rsidR="00A719AC" w:rsidRPr="0071156E" w:rsidRDefault="00A719AC" w:rsidP="00F70D87">
            <w:pPr>
              <w:spacing w:after="0" w:line="240" w:lineRule="auto"/>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rPr>
              <w:t>Well-Being 2: Children receive appropriate services to meet their educational needs</w:t>
            </w:r>
          </w:p>
        </w:tc>
        <w:tc>
          <w:tcPr>
            <w:tcW w:w="920" w:type="dxa"/>
            <w:tcBorders>
              <w:top w:val="nil"/>
              <w:left w:val="nil"/>
              <w:bottom w:val="single" w:sz="4" w:space="0" w:color="auto"/>
              <w:right w:val="nil"/>
            </w:tcBorders>
            <w:shd w:val="clear" w:color="auto" w:fill="215967"/>
            <w:vAlign w:val="center"/>
          </w:tcPr>
          <w:p w14:paraId="24D7F105" w14:textId="62D084E7" w:rsidR="00A719AC" w:rsidRPr="00A719AC" w:rsidRDefault="00A719AC" w:rsidP="00F70D87">
            <w:pPr>
              <w:spacing w:after="0" w:line="240" w:lineRule="auto"/>
              <w:jc w:val="center"/>
              <w:rPr>
                <w:rFonts w:asciiTheme="majorHAnsi" w:eastAsia="Times New Roman" w:hAnsiTheme="majorHAnsi" w:cs="Arial"/>
                <w:b/>
                <w:bCs/>
                <w:color w:val="FFFFFF"/>
              </w:rPr>
            </w:pPr>
            <w:r w:rsidRPr="00A719AC">
              <w:rPr>
                <w:rFonts w:ascii="Times New Roman" w:eastAsia="Times New Roman" w:hAnsi="Times New Roman"/>
                <w:b/>
                <w:bCs/>
                <w:color w:val="FFFFFF"/>
                <w:sz w:val="24"/>
                <w:szCs w:val="24"/>
              </w:rPr>
              <w:t>93%</w:t>
            </w:r>
          </w:p>
        </w:tc>
        <w:tc>
          <w:tcPr>
            <w:tcW w:w="976" w:type="dxa"/>
            <w:tcBorders>
              <w:top w:val="nil"/>
              <w:left w:val="single" w:sz="4" w:space="0" w:color="FFFFFF"/>
              <w:bottom w:val="single" w:sz="4" w:space="0" w:color="auto"/>
              <w:right w:val="single" w:sz="4" w:space="0" w:color="FFFFFF"/>
            </w:tcBorders>
            <w:shd w:val="clear" w:color="auto" w:fill="215967"/>
            <w:vAlign w:val="center"/>
          </w:tcPr>
          <w:p w14:paraId="0B461AD2" w14:textId="689D9055" w:rsidR="00A719AC" w:rsidRPr="00A719AC" w:rsidRDefault="0058217C" w:rsidP="00F70D87">
            <w:pPr>
              <w:spacing w:after="0" w:line="240" w:lineRule="auto"/>
              <w:jc w:val="center"/>
              <w:rPr>
                <w:rFonts w:asciiTheme="majorHAnsi" w:eastAsia="Times New Roman" w:hAnsiTheme="majorHAnsi" w:cs="Arial"/>
                <w:b/>
                <w:bCs/>
                <w:color w:val="FFFFFF"/>
              </w:rPr>
            </w:pPr>
            <w:r>
              <w:rPr>
                <w:rFonts w:ascii="Times New Roman" w:eastAsia="Times New Roman" w:hAnsi="Times New Roman"/>
                <w:b/>
                <w:bCs/>
                <w:color w:val="FFFFFF"/>
                <w:sz w:val="24"/>
                <w:szCs w:val="24"/>
              </w:rPr>
              <w:t>93</w:t>
            </w:r>
            <w:r w:rsidR="00A719AC" w:rsidRPr="00A719AC">
              <w:rPr>
                <w:rFonts w:ascii="Times New Roman" w:eastAsia="Times New Roman" w:hAnsi="Times New Roman"/>
                <w:b/>
                <w:bCs/>
                <w:color w:val="FFFFFF"/>
                <w:sz w:val="24"/>
                <w:szCs w:val="24"/>
              </w:rPr>
              <w:t>%</w:t>
            </w:r>
          </w:p>
        </w:tc>
        <w:tc>
          <w:tcPr>
            <w:tcW w:w="920" w:type="dxa"/>
            <w:tcBorders>
              <w:top w:val="nil"/>
              <w:left w:val="nil"/>
              <w:bottom w:val="single" w:sz="4" w:space="0" w:color="auto"/>
              <w:right w:val="single" w:sz="8" w:space="0" w:color="auto"/>
            </w:tcBorders>
            <w:shd w:val="clear" w:color="auto" w:fill="215967"/>
            <w:noWrap/>
            <w:vAlign w:val="center"/>
          </w:tcPr>
          <w:p w14:paraId="1B7FA124" w14:textId="10698174" w:rsidR="00A719AC" w:rsidRPr="00A719AC" w:rsidRDefault="00A719AC" w:rsidP="000F768C">
            <w:pPr>
              <w:spacing w:after="0" w:line="240" w:lineRule="auto"/>
              <w:jc w:val="center"/>
              <w:rPr>
                <w:rFonts w:asciiTheme="majorHAnsi" w:eastAsia="Times New Roman" w:hAnsiTheme="majorHAnsi" w:cs="Arial"/>
                <w:b/>
                <w:bCs/>
                <w:color w:val="FFFFFF"/>
              </w:rPr>
            </w:pPr>
            <w:r w:rsidRPr="00A719AC">
              <w:rPr>
                <w:rFonts w:ascii="Times New Roman" w:eastAsia="Times New Roman" w:hAnsi="Times New Roman"/>
                <w:b/>
                <w:bCs/>
                <w:color w:val="FFFFFF"/>
                <w:sz w:val="24"/>
                <w:szCs w:val="24"/>
              </w:rPr>
              <w:t>85%</w:t>
            </w:r>
          </w:p>
        </w:tc>
      </w:tr>
      <w:tr w:rsidR="00A719AC" w:rsidRPr="00003266" w14:paraId="54F27756"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101DBCD9" w14:textId="56C2A49A"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16: Educational Needs of the </w:t>
            </w:r>
            <w:r w:rsidR="00581E2E" w:rsidRPr="0071156E">
              <w:rPr>
                <w:rFonts w:asciiTheme="majorHAnsi" w:eastAsia="Times New Roman" w:hAnsiTheme="majorHAnsi" w:cs="Arial"/>
                <w:color w:val="000000"/>
              </w:rPr>
              <w:t>Child (</w:t>
            </w:r>
            <w:r w:rsidR="00CF2853">
              <w:rPr>
                <w:rFonts w:asciiTheme="majorHAnsi" w:eastAsia="Times New Roman" w:hAnsiTheme="majorHAnsi" w:cs="Arial"/>
                <w:color w:val="000000"/>
                <w:sz w:val="20"/>
                <w:szCs w:val="20"/>
              </w:rPr>
              <w:t>N=107</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5FE2898D" w14:textId="721B2AE1"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93%</w:t>
            </w:r>
          </w:p>
        </w:tc>
        <w:tc>
          <w:tcPr>
            <w:tcW w:w="976" w:type="dxa"/>
            <w:tcBorders>
              <w:top w:val="nil"/>
              <w:left w:val="single" w:sz="4" w:space="0" w:color="auto"/>
              <w:bottom w:val="single" w:sz="4" w:space="0" w:color="auto"/>
              <w:right w:val="nil"/>
            </w:tcBorders>
            <w:shd w:val="clear" w:color="auto" w:fill="auto"/>
            <w:noWrap/>
            <w:vAlign w:val="center"/>
          </w:tcPr>
          <w:p w14:paraId="10C3D352" w14:textId="7FB6F52D" w:rsidR="00A719AC" w:rsidRPr="00A719AC" w:rsidRDefault="0058217C"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93</w:t>
            </w:r>
            <w:r w:rsidR="00A719AC" w:rsidRPr="00A719AC">
              <w:rPr>
                <w:rFonts w:ascii="Times New Roman" w:eastAsia="Times New Roman" w:hAnsi="Times New Roman"/>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438EB63F" w14:textId="30465A7B"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85%</w:t>
            </w:r>
          </w:p>
        </w:tc>
      </w:tr>
      <w:tr w:rsidR="00A719AC" w:rsidRPr="00003266" w14:paraId="1500781C" w14:textId="77777777" w:rsidTr="0071156E">
        <w:trPr>
          <w:trHeight w:val="630"/>
          <w:jc w:val="center"/>
        </w:trPr>
        <w:tc>
          <w:tcPr>
            <w:tcW w:w="7740" w:type="dxa"/>
            <w:tcBorders>
              <w:top w:val="nil"/>
              <w:left w:val="single" w:sz="8" w:space="0" w:color="auto"/>
              <w:bottom w:val="single" w:sz="4" w:space="0" w:color="auto"/>
              <w:right w:val="single" w:sz="4" w:space="0" w:color="FFFFFF"/>
            </w:tcBorders>
            <w:shd w:val="clear" w:color="auto" w:fill="215967"/>
            <w:vAlign w:val="center"/>
            <w:hideMark/>
          </w:tcPr>
          <w:p w14:paraId="74D90005" w14:textId="77777777" w:rsidR="00A719AC" w:rsidRPr="0071156E" w:rsidRDefault="00A719AC" w:rsidP="00F70D87">
            <w:pPr>
              <w:spacing w:after="0" w:line="240" w:lineRule="auto"/>
              <w:rPr>
                <w:rFonts w:asciiTheme="majorHAnsi" w:eastAsia="Times New Roman" w:hAnsiTheme="majorHAnsi" w:cs="Arial"/>
                <w:b/>
                <w:bCs/>
                <w:color w:val="FFFFFF"/>
                <w:sz w:val="24"/>
                <w:szCs w:val="24"/>
              </w:rPr>
            </w:pPr>
            <w:r w:rsidRPr="0071156E">
              <w:rPr>
                <w:rFonts w:asciiTheme="majorHAnsi" w:eastAsia="Times New Roman" w:hAnsiTheme="majorHAnsi" w:cs="Arial"/>
                <w:b/>
                <w:bCs/>
                <w:color w:val="FFFFFF"/>
              </w:rPr>
              <w:t>Well-Being 3: Children receive adequate services to meet their physical and mental health needs</w:t>
            </w:r>
          </w:p>
        </w:tc>
        <w:tc>
          <w:tcPr>
            <w:tcW w:w="920" w:type="dxa"/>
            <w:tcBorders>
              <w:top w:val="nil"/>
              <w:left w:val="nil"/>
              <w:bottom w:val="single" w:sz="4" w:space="0" w:color="auto"/>
              <w:right w:val="nil"/>
            </w:tcBorders>
            <w:shd w:val="clear" w:color="auto" w:fill="215967"/>
            <w:vAlign w:val="center"/>
          </w:tcPr>
          <w:p w14:paraId="43E2C198" w14:textId="28E8B98F" w:rsidR="00A719AC" w:rsidRPr="00A719AC" w:rsidRDefault="00A719AC" w:rsidP="00F70D87">
            <w:pPr>
              <w:spacing w:after="0" w:line="240" w:lineRule="auto"/>
              <w:jc w:val="center"/>
              <w:rPr>
                <w:rFonts w:asciiTheme="majorHAnsi" w:eastAsia="Times New Roman" w:hAnsiTheme="majorHAnsi" w:cs="Arial"/>
                <w:b/>
                <w:bCs/>
                <w:color w:val="FFFFFF"/>
              </w:rPr>
            </w:pPr>
            <w:r w:rsidRPr="00A719AC">
              <w:rPr>
                <w:rFonts w:ascii="Times New Roman" w:eastAsia="Times New Roman" w:hAnsi="Times New Roman"/>
                <w:b/>
                <w:bCs/>
                <w:color w:val="FFFFFF"/>
                <w:sz w:val="24"/>
                <w:szCs w:val="24"/>
              </w:rPr>
              <w:t>7</w:t>
            </w:r>
            <w:r w:rsidR="00816542">
              <w:rPr>
                <w:rFonts w:ascii="Times New Roman" w:eastAsia="Times New Roman" w:hAnsi="Times New Roman"/>
                <w:b/>
                <w:bCs/>
                <w:color w:val="FFFFFF"/>
                <w:sz w:val="24"/>
                <w:szCs w:val="24"/>
              </w:rPr>
              <w:t>5</w:t>
            </w:r>
            <w:r w:rsidRPr="00A719AC">
              <w:rPr>
                <w:rFonts w:ascii="Times New Roman" w:eastAsia="Times New Roman" w:hAnsi="Times New Roman"/>
                <w:b/>
                <w:bCs/>
                <w:color w:val="FFFFFF"/>
                <w:sz w:val="24"/>
                <w:szCs w:val="24"/>
              </w:rPr>
              <w:t>%</w:t>
            </w:r>
          </w:p>
        </w:tc>
        <w:tc>
          <w:tcPr>
            <w:tcW w:w="976" w:type="dxa"/>
            <w:tcBorders>
              <w:top w:val="nil"/>
              <w:left w:val="single" w:sz="4" w:space="0" w:color="FFFFFF"/>
              <w:bottom w:val="single" w:sz="4" w:space="0" w:color="auto"/>
              <w:right w:val="nil"/>
            </w:tcBorders>
            <w:shd w:val="clear" w:color="auto" w:fill="215967"/>
            <w:vAlign w:val="center"/>
          </w:tcPr>
          <w:p w14:paraId="6D29AEC5" w14:textId="18B72D53" w:rsidR="00A719AC" w:rsidRPr="00A719AC" w:rsidRDefault="00A719AC" w:rsidP="00F70D87">
            <w:pPr>
              <w:spacing w:after="0" w:line="240" w:lineRule="auto"/>
              <w:jc w:val="center"/>
              <w:rPr>
                <w:rFonts w:asciiTheme="majorHAnsi" w:eastAsia="Times New Roman" w:hAnsiTheme="majorHAnsi" w:cs="Arial"/>
                <w:b/>
                <w:bCs/>
                <w:color w:val="FFFFFF"/>
              </w:rPr>
            </w:pPr>
            <w:r w:rsidRPr="00A719AC">
              <w:rPr>
                <w:rFonts w:ascii="Times New Roman" w:eastAsia="Times New Roman" w:hAnsi="Times New Roman"/>
                <w:b/>
                <w:bCs/>
                <w:color w:val="FFFFFF"/>
                <w:sz w:val="24"/>
                <w:szCs w:val="24"/>
              </w:rPr>
              <w:t>73%</w:t>
            </w:r>
          </w:p>
        </w:tc>
        <w:tc>
          <w:tcPr>
            <w:tcW w:w="920" w:type="dxa"/>
            <w:tcBorders>
              <w:top w:val="nil"/>
              <w:left w:val="single" w:sz="4" w:space="0" w:color="FFFFFF"/>
              <w:bottom w:val="single" w:sz="4" w:space="0" w:color="auto"/>
              <w:right w:val="single" w:sz="8" w:space="0" w:color="auto"/>
            </w:tcBorders>
            <w:shd w:val="clear" w:color="auto" w:fill="215967"/>
            <w:noWrap/>
            <w:vAlign w:val="center"/>
          </w:tcPr>
          <w:p w14:paraId="7322B180" w14:textId="6963B18A" w:rsidR="00A719AC" w:rsidRPr="00A719AC" w:rsidRDefault="00A719AC" w:rsidP="00F70D87">
            <w:pPr>
              <w:spacing w:after="0" w:line="240" w:lineRule="auto"/>
              <w:jc w:val="center"/>
              <w:rPr>
                <w:rFonts w:asciiTheme="majorHAnsi" w:eastAsia="Times New Roman" w:hAnsiTheme="majorHAnsi" w:cs="Arial"/>
                <w:b/>
                <w:bCs/>
                <w:color w:val="FFFFFF"/>
              </w:rPr>
            </w:pPr>
            <w:r w:rsidRPr="00A719AC">
              <w:rPr>
                <w:rFonts w:ascii="Times New Roman" w:eastAsia="Times New Roman" w:hAnsi="Times New Roman"/>
                <w:b/>
                <w:bCs/>
                <w:color w:val="FFFFFF"/>
                <w:sz w:val="24"/>
                <w:szCs w:val="24"/>
              </w:rPr>
              <w:t>66%</w:t>
            </w:r>
          </w:p>
        </w:tc>
      </w:tr>
      <w:tr w:rsidR="00A719AC" w:rsidRPr="00003266" w14:paraId="6572F681" w14:textId="77777777" w:rsidTr="00F70D87">
        <w:trPr>
          <w:trHeight w:val="300"/>
          <w:jc w:val="center"/>
        </w:trPr>
        <w:tc>
          <w:tcPr>
            <w:tcW w:w="7740" w:type="dxa"/>
            <w:tcBorders>
              <w:top w:val="nil"/>
              <w:left w:val="single" w:sz="8" w:space="0" w:color="auto"/>
              <w:bottom w:val="single" w:sz="4" w:space="0" w:color="auto"/>
              <w:right w:val="single" w:sz="4" w:space="0" w:color="auto"/>
            </w:tcBorders>
            <w:shd w:val="clear" w:color="auto" w:fill="auto"/>
            <w:noWrap/>
            <w:vAlign w:val="center"/>
            <w:hideMark/>
          </w:tcPr>
          <w:p w14:paraId="4E0C8058" w14:textId="7EB95ABC"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17: Physical Health of the </w:t>
            </w:r>
            <w:r w:rsidR="00581E2E" w:rsidRPr="0071156E">
              <w:rPr>
                <w:rFonts w:asciiTheme="majorHAnsi" w:eastAsia="Times New Roman" w:hAnsiTheme="majorHAnsi" w:cs="Arial"/>
                <w:color w:val="000000"/>
              </w:rPr>
              <w:t>Child (</w:t>
            </w:r>
            <w:r w:rsidR="00CF2853">
              <w:rPr>
                <w:rFonts w:asciiTheme="majorHAnsi" w:eastAsia="Times New Roman" w:hAnsiTheme="majorHAnsi" w:cs="Arial"/>
                <w:color w:val="000000"/>
                <w:sz w:val="20"/>
                <w:szCs w:val="20"/>
              </w:rPr>
              <w:t>N=1</w:t>
            </w:r>
            <w:r w:rsidR="00816542">
              <w:rPr>
                <w:rFonts w:asciiTheme="majorHAnsi" w:eastAsia="Times New Roman" w:hAnsiTheme="majorHAnsi" w:cs="Arial"/>
                <w:color w:val="000000"/>
                <w:sz w:val="20"/>
                <w:szCs w:val="20"/>
              </w:rPr>
              <w:t>59</w:t>
            </w:r>
            <w:r w:rsidRPr="0071156E">
              <w:rPr>
                <w:rFonts w:asciiTheme="majorHAnsi" w:eastAsia="Times New Roman" w:hAnsiTheme="majorHAnsi" w:cs="Arial"/>
                <w:color w:val="000000"/>
                <w:sz w:val="20"/>
                <w:szCs w:val="20"/>
              </w:rPr>
              <w:t>)</w:t>
            </w:r>
          </w:p>
        </w:tc>
        <w:tc>
          <w:tcPr>
            <w:tcW w:w="920" w:type="dxa"/>
            <w:tcBorders>
              <w:top w:val="nil"/>
              <w:left w:val="nil"/>
              <w:bottom w:val="single" w:sz="4" w:space="0" w:color="auto"/>
              <w:right w:val="nil"/>
            </w:tcBorders>
            <w:shd w:val="clear" w:color="auto" w:fill="auto"/>
            <w:noWrap/>
            <w:vAlign w:val="center"/>
          </w:tcPr>
          <w:p w14:paraId="50A49652" w14:textId="7F32D432" w:rsidR="00A719AC" w:rsidRPr="00A719AC" w:rsidRDefault="00816542"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81</w:t>
            </w:r>
            <w:r w:rsidR="00A719AC" w:rsidRPr="00A719AC">
              <w:rPr>
                <w:rFonts w:ascii="Times New Roman" w:eastAsia="Times New Roman" w:hAnsi="Times New Roman"/>
                <w:color w:val="000000"/>
                <w:sz w:val="24"/>
                <w:szCs w:val="24"/>
              </w:rPr>
              <w:t>%</w:t>
            </w:r>
          </w:p>
        </w:tc>
        <w:tc>
          <w:tcPr>
            <w:tcW w:w="976" w:type="dxa"/>
            <w:tcBorders>
              <w:top w:val="nil"/>
              <w:left w:val="single" w:sz="4" w:space="0" w:color="auto"/>
              <w:bottom w:val="single" w:sz="4" w:space="0" w:color="auto"/>
              <w:right w:val="nil"/>
            </w:tcBorders>
            <w:shd w:val="clear" w:color="auto" w:fill="auto"/>
            <w:noWrap/>
            <w:vAlign w:val="center"/>
          </w:tcPr>
          <w:p w14:paraId="5527A646" w14:textId="5C037B06" w:rsidR="00A719AC" w:rsidRPr="00A719AC" w:rsidRDefault="0058217C"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79</w:t>
            </w:r>
            <w:r w:rsidR="00A719AC" w:rsidRPr="00A719AC">
              <w:rPr>
                <w:rFonts w:ascii="Times New Roman" w:eastAsia="Times New Roman" w:hAnsi="Times New Roman"/>
                <w:color w:val="000000"/>
                <w:sz w:val="24"/>
                <w:szCs w:val="24"/>
              </w:rPr>
              <w:t>%</w:t>
            </w:r>
          </w:p>
        </w:tc>
        <w:tc>
          <w:tcPr>
            <w:tcW w:w="920" w:type="dxa"/>
            <w:tcBorders>
              <w:top w:val="nil"/>
              <w:left w:val="single" w:sz="4" w:space="0" w:color="auto"/>
              <w:bottom w:val="single" w:sz="4" w:space="0" w:color="auto"/>
              <w:right w:val="single" w:sz="8" w:space="0" w:color="auto"/>
            </w:tcBorders>
            <w:shd w:val="clear" w:color="auto" w:fill="auto"/>
            <w:noWrap/>
            <w:vAlign w:val="center"/>
          </w:tcPr>
          <w:p w14:paraId="6D22A724" w14:textId="54CA2015" w:rsidR="00A719AC" w:rsidRPr="00A719AC" w:rsidRDefault="00A719AC" w:rsidP="00F70D87">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81%</w:t>
            </w:r>
          </w:p>
        </w:tc>
      </w:tr>
      <w:tr w:rsidR="00A719AC" w:rsidRPr="00003266" w14:paraId="5EFDD737" w14:textId="77777777" w:rsidTr="00F70D87">
        <w:trPr>
          <w:trHeight w:val="315"/>
          <w:jc w:val="center"/>
        </w:trPr>
        <w:tc>
          <w:tcPr>
            <w:tcW w:w="7740" w:type="dxa"/>
            <w:tcBorders>
              <w:top w:val="nil"/>
              <w:left w:val="single" w:sz="8" w:space="0" w:color="auto"/>
              <w:bottom w:val="single" w:sz="8" w:space="0" w:color="auto"/>
              <w:right w:val="single" w:sz="4" w:space="0" w:color="auto"/>
            </w:tcBorders>
            <w:shd w:val="clear" w:color="auto" w:fill="auto"/>
            <w:noWrap/>
            <w:vAlign w:val="center"/>
            <w:hideMark/>
          </w:tcPr>
          <w:p w14:paraId="06679865" w14:textId="10A83C7E" w:rsidR="00A719AC" w:rsidRPr="0071156E" w:rsidRDefault="00A719AC" w:rsidP="00F70D87">
            <w:pPr>
              <w:spacing w:after="0" w:line="240" w:lineRule="auto"/>
              <w:rPr>
                <w:rFonts w:asciiTheme="majorHAnsi" w:eastAsia="Times New Roman" w:hAnsiTheme="majorHAnsi" w:cs="Arial"/>
                <w:color w:val="000000"/>
                <w:sz w:val="24"/>
                <w:szCs w:val="24"/>
              </w:rPr>
            </w:pPr>
            <w:r w:rsidRPr="0071156E">
              <w:rPr>
                <w:rFonts w:asciiTheme="majorHAnsi" w:eastAsia="Times New Roman" w:hAnsiTheme="majorHAnsi" w:cs="Arial"/>
                <w:color w:val="000000"/>
              </w:rPr>
              <w:t xml:space="preserve">    Item 18: Mental/Behavioral Health of the </w:t>
            </w:r>
            <w:r w:rsidR="00581E2E" w:rsidRPr="0071156E">
              <w:rPr>
                <w:rFonts w:asciiTheme="majorHAnsi" w:eastAsia="Times New Roman" w:hAnsiTheme="majorHAnsi" w:cs="Arial"/>
                <w:color w:val="000000"/>
              </w:rPr>
              <w:t>Child (</w:t>
            </w:r>
            <w:r w:rsidR="00CF2853">
              <w:rPr>
                <w:rFonts w:asciiTheme="majorHAnsi" w:eastAsia="Times New Roman" w:hAnsiTheme="majorHAnsi" w:cs="Arial"/>
                <w:color w:val="000000"/>
                <w:sz w:val="20"/>
                <w:szCs w:val="20"/>
              </w:rPr>
              <w:t>N=</w:t>
            </w:r>
            <w:r w:rsidR="00816542">
              <w:rPr>
                <w:rFonts w:asciiTheme="majorHAnsi" w:eastAsia="Times New Roman" w:hAnsiTheme="majorHAnsi" w:cs="Arial"/>
                <w:color w:val="000000"/>
                <w:sz w:val="20"/>
                <w:szCs w:val="20"/>
              </w:rPr>
              <w:t>93</w:t>
            </w:r>
            <w:r w:rsidRPr="0071156E">
              <w:rPr>
                <w:rFonts w:asciiTheme="majorHAnsi" w:eastAsia="Times New Roman" w:hAnsiTheme="majorHAnsi" w:cs="Arial"/>
                <w:color w:val="000000"/>
                <w:sz w:val="20"/>
                <w:szCs w:val="20"/>
              </w:rPr>
              <w:t>)</w:t>
            </w:r>
          </w:p>
        </w:tc>
        <w:tc>
          <w:tcPr>
            <w:tcW w:w="920" w:type="dxa"/>
            <w:tcBorders>
              <w:top w:val="nil"/>
              <w:left w:val="nil"/>
              <w:bottom w:val="single" w:sz="8" w:space="0" w:color="auto"/>
              <w:right w:val="nil"/>
            </w:tcBorders>
            <w:shd w:val="clear" w:color="auto" w:fill="auto"/>
            <w:noWrap/>
            <w:vAlign w:val="center"/>
          </w:tcPr>
          <w:p w14:paraId="4F4E12E3" w14:textId="12753DB2" w:rsidR="00A719AC" w:rsidRPr="00A719AC" w:rsidRDefault="00816542"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84</w:t>
            </w:r>
            <w:r w:rsidR="00A719AC" w:rsidRPr="00A719AC">
              <w:rPr>
                <w:rFonts w:ascii="Times New Roman" w:eastAsia="Times New Roman" w:hAnsi="Times New Roman"/>
                <w:color w:val="000000"/>
                <w:sz w:val="24"/>
                <w:szCs w:val="24"/>
              </w:rPr>
              <w:t>%</w:t>
            </w:r>
          </w:p>
        </w:tc>
        <w:tc>
          <w:tcPr>
            <w:tcW w:w="976" w:type="dxa"/>
            <w:tcBorders>
              <w:top w:val="nil"/>
              <w:left w:val="single" w:sz="4" w:space="0" w:color="auto"/>
              <w:bottom w:val="single" w:sz="8" w:space="0" w:color="auto"/>
              <w:right w:val="nil"/>
            </w:tcBorders>
            <w:shd w:val="clear" w:color="auto" w:fill="auto"/>
            <w:noWrap/>
            <w:vAlign w:val="center"/>
          </w:tcPr>
          <w:p w14:paraId="01377126" w14:textId="36CC8000" w:rsidR="00A719AC" w:rsidRPr="00A719AC" w:rsidRDefault="0058217C" w:rsidP="00F70D87">
            <w:pPr>
              <w:spacing w:after="0" w:line="240" w:lineRule="auto"/>
              <w:jc w:val="center"/>
              <w:rPr>
                <w:rFonts w:asciiTheme="majorHAnsi" w:eastAsia="Times New Roman" w:hAnsiTheme="majorHAnsi" w:cs="Arial"/>
                <w:color w:val="000000"/>
              </w:rPr>
            </w:pPr>
            <w:r>
              <w:rPr>
                <w:rFonts w:ascii="Times New Roman" w:eastAsia="Times New Roman" w:hAnsi="Times New Roman"/>
                <w:color w:val="000000"/>
                <w:sz w:val="24"/>
                <w:szCs w:val="24"/>
              </w:rPr>
              <w:t>77</w:t>
            </w:r>
            <w:r w:rsidR="00A719AC" w:rsidRPr="00A719AC">
              <w:rPr>
                <w:rFonts w:ascii="Times New Roman" w:eastAsia="Times New Roman" w:hAnsi="Times New Roman"/>
                <w:color w:val="000000"/>
                <w:sz w:val="24"/>
                <w:szCs w:val="24"/>
              </w:rPr>
              <w:t>%</w:t>
            </w:r>
          </w:p>
        </w:tc>
        <w:tc>
          <w:tcPr>
            <w:tcW w:w="920" w:type="dxa"/>
            <w:tcBorders>
              <w:top w:val="nil"/>
              <w:left w:val="single" w:sz="4" w:space="0" w:color="auto"/>
              <w:bottom w:val="single" w:sz="8" w:space="0" w:color="auto"/>
              <w:right w:val="single" w:sz="8" w:space="0" w:color="auto"/>
            </w:tcBorders>
            <w:shd w:val="clear" w:color="auto" w:fill="auto"/>
            <w:noWrap/>
            <w:vAlign w:val="center"/>
          </w:tcPr>
          <w:p w14:paraId="46FC7ABF" w14:textId="33D9D4D7" w:rsidR="00A719AC" w:rsidRPr="00A719AC" w:rsidRDefault="00A719AC" w:rsidP="000F768C">
            <w:pPr>
              <w:spacing w:after="0" w:line="240" w:lineRule="auto"/>
              <w:jc w:val="center"/>
              <w:rPr>
                <w:rFonts w:asciiTheme="majorHAnsi" w:eastAsia="Times New Roman" w:hAnsiTheme="majorHAnsi" w:cs="Arial"/>
                <w:color w:val="000000"/>
              </w:rPr>
            </w:pPr>
            <w:r w:rsidRPr="00A719AC">
              <w:rPr>
                <w:rFonts w:ascii="Times New Roman" w:eastAsia="Times New Roman" w:hAnsi="Times New Roman"/>
                <w:color w:val="000000"/>
                <w:sz w:val="24"/>
                <w:szCs w:val="24"/>
              </w:rPr>
              <w:t>68%</w:t>
            </w:r>
          </w:p>
        </w:tc>
      </w:tr>
    </w:tbl>
    <w:p w14:paraId="4B363884" w14:textId="77777777" w:rsidR="001C3C40" w:rsidRDefault="001C3C40" w:rsidP="001C3C40"/>
    <w:p w14:paraId="32099A76" w14:textId="77777777" w:rsidR="001C3C40" w:rsidRDefault="001C3C40" w:rsidP="003E1A48">
      <w:pPr>
        <w:pBdr>
          <w:bottom w:val="single" w:sz="12" w:space="0" w:color="auto"/>
        </w:pBdr>
        <w:tabs>
          <w:tab w:val="left" w:pos="2010"/>
        </w:tabs>
        <w:spacing w:after="0" w:line="240" w:lineRule="auto"/>
        <w:ind w:left="-990" w:right="-1080"/>
        <w:rPr>
          <w:rFonts w:asciiTheme="majorHAnsi" w:hAnsiTheme="majorHAnsi"/>
          <w:b/>
          <w:smallCaps/>
          <w:sz w:val="24"/>
          <w:szCs w:val="24"/>
        </w:rPr>
        <w:sectPr w:rsidR="001C3C40" w:rsidSect="00D273DB">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6A52A7B6" w14:textId="4ADF2FB9" w:rsidR="00630993" w:rsidRDefault="00630993">
      <w:pPr>
        <w:spacing w:after="0" w:line="240" w:lineRule="auto"/>
        <w:rPr>
          <w:rFonts w:ascii="Cambria" w:hAnsi="Cambria" w:cs="Arial"/>
          <w:b/>
          <w:color w:val="000000"/>
          <w:sz w:val="24"/>
          <w:szCs w:val="24"/>
        </w:rPr>
      </w:pPr>
    </w:p>
    <w:tbl>
      <w:tblPr>
        <w:tblW w:w="15338" w:type="dxa"/>
        <w:jc w:val="center"/>
        <w:tblLook w:val="04A0" w:firstRow="1" w:lastRow="0" w:firstColumn="1" w:lastColumn="0" w:noHBand="0" w:noVBand="1"/>
      </w:tblPr>
      <w:tblGrid>
        <w:gridCol w:w="6907"/>
        <w:gridCol w:w="877"/>
        <w:gridCol w:w="830"/>
        <w:gridCol w:w="820"/>
        <w:gridCol w:w="830"/>
        <w:gridCol w:w="877"/>
        <w:gridCol w:w="877"/>
        <w:gridCol w:w="830"/>
        <w:gridCol w:w="830"/>
        <w:gridCol w:w="830"/>
        <w:gridCol w:w="830"/>
      </w:tblGrid>
      <w:tr w:rsidR="001F29C0" w:rsidRPr="00565E46" w14:paraId="546071E4" w14:textId="77777777" w:rsidTr="003D18CF">
        <w:trPr>
          <w:trHeight w:val="330"/>
          <w:tblHeader/>
          <w:jc w:val="center"/>
        </w:trPr>
        <w:tc>
          <w:tcPr>
            <w:tcW w:w="15338" w:type="dxa"/>
            <w:gridSpan w:val="11"/>
            <w:tcBorders>
              <w:top w:val="single" w:sz="8" w:space="0" w:color="auto"/>
              <w:left w:val="single" w:sz="8" w:space="0" w:color="auto"/>
              <w:right w:val="single" w:sz="8" w:space="0" w:color="000000"/>
            </w:tcBorders>
            <w:shd w:val="clear" w:color="000000" w:fill="215967"/>
            <w:noWrap/>
            <w:vAlign w:val="bottom"/>
            <w:hideMark/>
          </w:tcPr>
          <w:p w14:paraId="2F11AE82" w14:textId="5E574B87" w:rsidR="001F29C0" w:rsidRPr="009E3BFD" w:rsidRDefault="0071156E" w:rsidP="008D708D">
            <w:pPr>
              <w:spacing w:after="0" w:line="240" w:lineRule="auto"/>
              <w:jc w:val="center"/>
              <w:rPr>
                <w:rFonts w:ascii="Cambria" w:eastAsia="Times New Roman" w:hAnsi="Cambria" w:cs="Arial"/>
                <w:b/>
                <w:bCs/>
                <w:color w:val="FFFFFF"/>
                <w:sz w:val="18"/>
                <w:szCs w:val="18"/>
              </w:rPr>
            </w:pPr>
            <w:r w:rsidRPr="009E3BFD">
              <w:rPr>
                <w:rFonts w:ascii="Cambria" w:eastAsia="Times New Roman" w:hAnsi="Cambria" w:cs="Arial"/>
                <w:b/>
                <w:bCs/>
                <w:color w:val="FFFFFF"/>
                <w:sz w:val="18"/>
                <w:szCs w:val="18"/>
              </w:rPr>
              <w:t>Table 6</w:t>
            </w:r>
            <w:r w:rsidR="001B038A" w:rsidRPr="009E3BFD">
              <w:rPr>
                <w:rFonts w:ascii="Cambria" w:eastAsia="Times New Roman" w:hAnsi="Cambria" w:cs="Arial"/>
                <w:b/>
                <w:bCs/>
                <w:color w:val="FFFFFF"/>
                <w:sz w:val="18"/>
                <w:szCs w:val="18"/>
              </w:rPr>
              <w:t xml:space="preserve">: </w:t>
            </w:r>
            <w:r w:rsidR="001F29C0" w:rsidRPr="009E3BFD">
              <w:rPr>
                <w:rFonts w:ascii="Cambria" w:eastAsia="Times New Roman" w:hAnsi="Cambria" w:cs="Arial"/>
                <w:b/>
                <w:bCs/>
                <w:color w:val="FFFFFF"/>
                <w:sz w:val="18"/>
                <w:szCs w:val="18"/>
              </w:rPr>
              <w:t>SFY 201</w:t>
            </w:r>
            <w:r w:rsidR="00816542" w:rsidRPr="009E3BFD">
              <w:rPr>
                <w:rFonts w:ascii="Cambria" w:eastAsia="Times New Roman" w:hAnsi="Cambria" w:cs="Arial"/>
                <w:b/>
                <w:bCs/>
                <w:color w:val="FFFFFF"/>
                <w:sz w:val="18"/>
                <w:szCs w:val="18"/>
              </w:rPr>
              <w:t>9</w:t>
            </w:r>
            <w:r w:rsidR="001F29C0" w:rsidRPr="009E3BFD">
              <w:rPr>
                <w:rFonts w:ascii="Cambria" w:eastAsia="Times New Roman" w:hAnsi="Cambria" w:cs="Arial"/>
                <w:b/>
                <w:bCs/>
                <w:color w:val="FFFFFF"/>
                <w:sz w:val="18"/>
                <w:szCs w:val="18"/>
              </w:rPr>
              <w:t xml:space="preserve"> QSPR Performance by Service Area</w:t>
            </w:r>
          </w:p>
        </w:tc>
      </w:tr>
      <w:tr w:rsidR="001F29C0" w:rsidRPr="00565E46" w14:paraId="15F8FF05" w14:textId="77777777" w:rsidTr="003D18CF">
        <w:trPr>
          <w:trHeight w:val="615"/>
          <w:tblHeader/>
          <w:jc w:val="center"/>
        </w:trPr>
        <w:tc>
          <w:tcPr>
            <w:tcW w:w="6907" w:type="dxa"/>
            <w:tcBorders>
              <w:top w:val="nil"/>
              <w:left w:val="single" w:sz="8" w:space="0" w:color="auto"/>
              <w:bottom w:val="single" w:sz="8" w:space="0" w:color="auto"/>
              <w:right w:val="single" w:sz="4" w:space="0" w:color="auto"/>
            </w:tcBorders>
            <w:shd w:val="clear" w:color="000000" w:fill="F2F2F2" w:themeFill="background1" w:themeFillShade="F2"/>
            <w:noWrap/>
            <w:vAlign w:val="bottom"/>
            <w:hideMark/>
          </w:tcPr>
          <w:p w14:paraId="12FE13CE" w14:textId="77777777" w:rsidR="001F29C0" w:rsidRPr="009E3BFD" w:rsidRDefault="001F29C0" w:rsidP="001F29C0">
            <w:pPr>
              <w:spacing w:after="0" w:line="240" w:lineRule="auto"/>
              <w:jc w:val="center"/>
              <w:rPr>
                <w:rFonts w:ascii="Cambria" w:eastAsia="Times New Roman" w:hAnsi="Cambria" w:cs="Arial"/>
                <w:i/>
                <w:iCs/>
                <w:color w:val="000000"/>
                <w:sz w:val="18"/>
                <w:szCs w:val="18"/>
              </w:rPr>
            </w:pPr>
            <w:r w:rsidRPr="009E3BFD">
              <w:rPr>
                <w:rFonts w:ascii="Cambria" w:eastAsia="Times New Roman" w:hAnsi="Cambria" w:cs="Arial"/>
                <w:i/>
                <w:iCs/>
                <w:color w:val="000000"/>
                <w:sz w:val="18"/>
                <w:szCs w:val="18"/>
              </w:rPr>
              <w:t> </w:t>
            </w:r>
          </w:p>
        </w:tc>
        <w:tc>
          <w:tcPr>
            <w:tcW w:w="877" w:type="dxa"/>
            <w:tcBorders>
              <w:top w:val="nil"/>
              <w:left w:val="nil"/>
              <w:bottom w:val="single" w:sz="8" w:space="0" w:color="auto"/>
              <w:right w:val="single" w:sz="4" w:space="0" w:color="auto"/>
            </w:tcBorders>
            <w:shd w:val="clear" w:color="000000" w:fill="F2F2F2" w:themeFill="background1" w:themeFillShade="F2"/>
            <w:vAlign w:val="center"/>
            <w:hideMark/>
          </w:tcPr>
          <w:p w14:paraId="34F8CDD6" w14:textId="77777777" w:rsidR="00DD723A"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384A8B25" w14:textId="55F9577A"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1</w:t>
            </w:r>
          </w:p>
        </w:tc>
        <w:tc>
          <w:tcPr>
            <w:tcW w:w="830" w:type="dxa"/>
            <w:tcBorders>
              <w:top w:val="nil"/>
              <w:left w:val="nil"/>
              <w:bottom w:val="single" w:sz="8" w:space="0" w:color="auto"/>
              <w:right w:val="single" w:sz="4" w:space="0" w:color="auto"/>
            </w:tcBorders>
            <w:shd w:val="clear" w:color="000000" w:fill="F2F2F2" w:themeFill="background1" w:themeFillShade="F2"/>
            <w:vAlign w:val="center"/>
            <w:hideMark/>
          </w:tcPr>
          <w:p w14:paraId="0B73988C" w14:textId="77777777" w:rsidR="00DD723A"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1EC8E4F5" w14:textId="599DD091"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2</w:t>
            </w:r>
          </w:p>
        </w:tc>
        <w:tc>
          <w:tcPr>
            <w:tcW w:w="820" w:type="dxa"/>
            <w:tcBorders>
              <w:top w:val="nil"/>
              <w:left w:val="nil"/>
              <w:bottom w:val="single" w:sz="8" w:space="0" w:color="auto"/>
              <w:right w:val="single" w:sz="4" w:space="0" w:color="auto"/>
            </w:tcBorders>
            <w:shd w:val="clear" w:color="000000" w:fill="F2F2F2" w:themeFill="background1" w:themeFillShade="F2"/>
            <w:vAlign w:val="center"/>
            <w:hideMark/>
          </w:tcPr>
          <w:p w14:paraId="2915DA0A" w14:textId="77777777" w:rsidR="00DD723A"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1C044EAB" w14:textId="16571E13"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3</w:t>
            </w:r>
          </w:p>
        </w:tc>
        <w:tc>
          <w:tcPr>
            <w:tcW w:w="830" w:type="dxa"/>
            <w:tcBorders>
              <w:top w:val="nil"/>
              <w:left w:val="nil"/>
              <w:bottom w:val="single" w:sz="8" w:space="0" w:color="auto"/>
              <w:right w:val="single" w:sz="4" w:space="0" w:color="auto"/>
            </w:tcBorders>
            <w:shd w:val="clear" w:color="000000" w:fill="F2F2F2" w:themeFill="background1" w:themeFillShade="F2"/>
            <w:vAlign w:val="center"/>
            <w:hideMark/>
          </w:tcPr>
          <w:p w14:paraId="182A2F36" w14:textId="77777777" w:rsidR="00DD723A"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6C4AAA6B" w14:textId="272978C0"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4</w:t>
            </w:r>
          </w:p>
        </w:tc>
        <w:tc>
          <w:tcPr>
            <w:tcW w:w="877" w:type="dxa"/>
            <w:tcBorders>
              <w:top w:val="nil"/>
              <w:left w:val="nil"/>
              <w:bottom w:val="single" w:sz="8" w:space="0" w:color="auto"/>
              <w:right w:val="single" w:sz="4" w:space="0" w:color="auto"/>
            </w:tcBorders>
            <w:shd w:val="clear" w:color="000000" w:fill="F2F2F2" w:themeFill="background1" w:themeFillShade="F2"/>
            <w:vAlign w:val="center"/>
            <w:hideMark/>
          </w:tcPr>
          <w:p w14:paraId="49F81D74" w14:textId="77777777" w:rsidR="00EF615E"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0778C2D6" w14:textId="0EBBED3B"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5</w:t>
            </w:r>
          </w:p>
        </w:tc>
        <w:tc>
          <w:tcPr>
            <w:tcW w:w="877" w:type="dxa"/>
            <w:tcBorders>
              <w:top w:val="nil"/>
              <w:left w:val="nil"/>
              <w:bottom w:val="single" w:sz="8" w:space="0" w:color="auto"/>
              <w:right w:val="single" w:sz="4" w:space="0" w:color="auto"/>
            </w:tcBorders>
            <w:shd w:val="clear" w:color="000000" w:fill="F2F2F2" w:themeFill="background1" w:themeFillShade="F2"/>
            <w:vAlign w:val="center"/>
            <w:hideMark/>
          </w:tcPr>
          <w:p w14:paraId="6FC7B2BB" w14:textId="77777777" w:rsidR="00EF615E"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3ED737E0" w14:textId="6655257B"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6</w:t>
            </w:r>
          </w:p>
        </w:tc>
        <w:tc>
          <w:tcPr>
            <w:tcW w:w="830" w:type="dxa"/>
            <w:tcBorders>
              <w:top w:val="nil"/>
              <w:left w:val="nil"/>
              <w:bottom w:val="single" w:sz="8" w:space="0" w:color="auto"/>
              <w:right w:val="single" w:sz="4" w:space="0" w:color="auto"/>
            </w:tcBorders>
            <w:shd w:val="clear" w:color="000000" w:fill="F2F2F2" w:themeFill="background1" w:themeFillShade="F2"/>
            <w:vAlign w:val="center"/>
            <w:hideMark/>
          </w:tcPr>
          <w:p w14:paraId="36E73BF5" w14:textId="77777777" w:rsidR="00565E46"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618765B0" w14:textId="48491C89"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7</w:t>
            </w:r>
          </w:p>
        </w:tc>
        <w:tc>
          <w:tcPr>
            <w:tcW w:w="830" w:type="dxa"/>
            <w:tcBorders>
              <w:top w:val="nil"/>
              <w:left w:val="nil"/>
              <w:bottom w:val="single" w:sz="8" w:space="0" w:color="auto"/>
              <w:right w:val="single" w:sz="4" w:space="0" w:color="auto"/>
            </w:tcBorders>
            <w:shd w:val="clear" w:color="000000" w:fill="F2F2F2" w:themeFill="background1" w:themeFillShade="F2"/>
            <w:vAlign w:val="center"/>
            <w:hideMark/>
          </w:tcPr>
          <w:p w14:paraId="0F0900E1" w14:textId="77777777" w:rsidR="00565E46"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2254FE8F" w14:textId="37D88345"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8</w:t>
            </w:r>
          </w:p>
        </w:tc>
        <w:tc>
          <w:tcPr>
            <w:tcW w:w="830" w:type="dxa"/>
            <w:tcBorders>
              <w:top w:val="nil"/>
              <w:left w:val="nil"/>
              <w:bottom w:val="single" w:sz="8" w:space="0" w:color="auto"/>
              <w:right w:val="single" w:sz="4" w:space="0" w:color="auto"/>
            </w:tcBorders>
            <w:shd w:val="clear" w:color="000000" w:fill="F2F2F2" w:themeFill="background1" w:themeFillShade="F2"/>
            <w:vAlign w:val="center"/>
            <w:hideMark/>
          </w:tcPr>
          <w:p w14:paraId="335A96F1" w14:textId="77777777" w:rsidR="00565E46"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31B683D3" w14:textId="0830BD32" w:rsidR="001F29C0" w:rsidRPr="009E3BFD"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9</w:t>
            </w:r>
          </w:p>
        </w:tc>
        <w:tc>
          <w:tcPr>
            <w:tcW w:w="830" w:type="dxa"/>
            <w:tcBorders>
              <w:top w:val="nil"/>
              <w:left w:val="nil"/>
              <w:bottom w:val="single" w:sz="8" w:space="0" w:color="auto"/>
              <w:right w:val="single" w:sz="8" w:space="0" w:color="auto"/>
            </w:tcBorders>
            <w:shd w:val="clear" w:color="000000" w:fill="F2F2F2" w:themeFill="background1" w:themeFillShade="F2"/>
            <w:vAlign w:val="center"/>
            <w:hideMark/>
          </w:tcPr>
          <w:p w14:paraId="7F819417" w14:textId="77777777" w:rsidR="00A17755" w:rsidRDefault="001F29C0" w:rsidP="001F29C0">
            <w:pPr>
              <w:spacing w:after="0" w:line="240" w:lineRule="auto"/>
              <w:jc w:val="center"/>
              <w:rPr>
                <w:rFonts w:ascii="Cambria" w:eastAsia="Times New Roman" w:hAnsi="Cambria" w:cs="Arial"/>
                <w:b/>
                <w:bCs/>
                <w:i/>
                <w:iCs/>
                <w:color w:val="000000"/>
                <w:sz w:val="18"/>
                <w:szCs w:val="18"/>
              </w:rPr>
            </w:pPr>
            <w:r w:rsidRPr="009E3BFD">
              <w:rPr>
                <w:rFonts w:ascii="Cambria" w:eastAsia="Times New Roman" w:hAnsi="Cambria" w:cs="Arial"/>
                <w:b/>
                <w:bCs/>
                <w:i/>
                <w:iCs/>
                <w:color w:val="000000"/>
                <w:sz w:val="18"/>
                <w:szCs w:val="18"/>
              </w:rPr>
              <w:t>Area</w:t>
            </w:r>
          </w:p>
          <w:p w14:paraId="41EC0141" w14:textId="50D6D372" w:rsidR="001F29C0" w:rsidRPr="004D28F0" w:rsidRDefault="001F29C0" w:rsidP="001F29C0">
            <w:pPr>
              <w:spacing w:after="0" w:line="240" w:lineRule="auto"/>
              <w:jc w:val="center"/>
              <w:rPr>
                <w:rFonts w:ascii="Cambria" w:eastAsia="Times New Roman" w:hAnsi="Cambria" w:cs="Arial"/>
                <w:b/>
                <w:bCs/>
                <w:i/>
                <w:iCs/>
                <w:color w:val="000000"/>
                <w:sz w:val="18"/>
                <w:szCs w:val="18"/>
              </w:rPr>
            </w:pPr>
            <w:r w:rsidRPr="004D28F0">
              <w:rPr>
                <w:rFonts w:ascii="Cambria" w:eastAsia="Times New Roman" w:hAnsi="Cambria" w:cs="Arial"/>
                <w:b/>
                <w:bCs/>
                <w:i/>
                <w:iCs/>
                <w:color w:val="000000"/>
                <w:sz w:val="18"/>
                <w:szCs w:val="18"/>
              </w:rPr>
              <w:t>10</w:t>
            </w:r>
          </w:p>
        </w:tc>
      </w:tr>
      <w:tr w:rsidR="003F05F4" w:rsidRPr="00565E46" w14:paraId="3FC2B9EA" w14:textId="77777777" w:rsidTr="008D708D">
        <w:trPr>
          <w:trHeight w:val="630"/>
          <w:jc w:val="center"/>
        </w:trPr>
        <w:tc>
          <w:tcPr>
            <w:tcW w:w="6907" w:type="dxa"/>
            <w:tcBorders>
              <w:top w:val="nil"/>
              <w:left w:val="single" w:sz="8" w:space="0" w:color="auto"/>
              <w:bottom w:val="single" w:sz="4" w:space="0" w:color="auto"/>
              <w:right w:val="nil"/>
            </w:tcBorders>
            <w:shd w:val="clear" w:color="000000" w:fill="215967"/>
            <w:vAlign w:val="center"/>
            <w:hideMark/>
          </w:tcPr>
          <w:p w14:paraId="0C5C2595" w14:textId="77777777" w:rsidR="003F05F4" w:rsidRPr="004D28F0" w:rsidRDefault="003F05F4" w:rsidP="00E377A0">
            <w:pPr>
              <w:spacing w:after="0" w:line="240" w:lineRule="auto"/>
              <w:rPr>
                <w:rFonts w:ascii="Cambria" w:eastAsia="Times New Roman" w:hAnsi="Cambria" w:cs="Arial"/>
                <w:b/>
                <w:bCs/>
                <w:color w:val="FFFFFF"/>
                <w:sz w:val="18"/>
                <w:szCs w:val="18"/>
              </w:rPr>
            </w:pPr>
            <w:r w:rsidRPr="004D28F0">
              <w:rPr>
                <w:rFonts w:ascii="Cambria" w:eastAsia="Times New Roman" w:hAnsi="Cambria" w:cs="Arial"/>
                <w:b/>
                <w:bCs/>
                <w:color w:val="FFFFFF"/>
                <w:sz w:val="18"/>
                <w:szCs w:val="18"/>
              </w:rPr>
              <w:t>Safety 1: Children are, first and foremost, protected from abuse and neglect</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461A7289" w14:textId="5C7AA3AA" w:rsidR="003F05F4" w:rsidRPr="004D28F0" w:rsidRDefault="00816542"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92</w:t>
            </w:r>
            <w:r w:rsidR="003F05F4" w:rsidRPr="004D28F0">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7FA8CE74" w14:textId="67E59622" w:rsidR="003F05F4" w:rsidRPr="004D28F0" w:rsidRDefault="00816542"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100</w:t>
            </w:r>
            <w:r w:rsidR="003F05F4" w:rsidRPr="004D28F0">
              <w:rPr>
                <w:rFonts w:asciiTheme="majorHAnsi" w:eastAsia="Times New Roman" w:hAnsiTheme="majorHAnsi"/>
                <w:b/>
                <w:bCs/>
                <w:color w:val="FFFFFF"/>
                <w:sz w:val="18"/>
                <w:szCs w:val="18"/>
              </w:rPr>
              <w:t>%</w:t>
            </w:r>
          </w:p>
        </w:tc>
        <w:tc>
          <w:tcPr>
            <w:tcW w:w="820" w:type="dxa"/>
            <w:tcBorders>
              <w:top w:val="nil"/>
              <w:left w:val="nil"/>
              <w:bottom w:val="single" w:sz="4" w:space="0" w:color="auto"/>
              <w:right w:val="nil"/>
            </w:tcBorders>
            <w:shd w:val="clear" w:color="000000" w:fill="215967"/>
            <w:noWrap/>
            <w:vAlign w:val="center"/>
            <w:hideMark/>
          </w:tcPr>
          <w:p w14:paraId="0A052C6F" w14:textId="6DBD8D56" w:rsidR="003F05F4" w:rsidRPr="004D28F0" w:rsidRDefault="003F05F4"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8</w:t>
            </w:r>
            <w:r w:rsidR="00DD723A" w:rsidRPr="004D28F0">
              <w:rPr>
                <w:rFonts w:asciiTheme="majorHAnsi" w:eastAsia="Times New Roman" w:hAnsiTheme="majorHAnsi"/>
                <w:b/>
                <w:bCs/>
                <w:color w:val="FFFFFF"/>
                <w:sz w:val="18"/>
                <w:szCs w:val="18"/>
              </w:rPr>
              <w:t>9</w:t>
            </w:r>
            <w:r w:rsidRPr="004D28F0">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4" w:space="0" w:color="FFFFFF"/>
            </w:tcBorders>
            <w:shd w:val="clear" w:color="000000" w:fill="215967"/>
            <w:noWrap/>
            <w:vAlign w:val="center"/>
            <w:hideMark/>
          </w:tcPr>
          <w:p w14:paraId="03864E35" w14:textId="1BE4072B" w:rsidR="003F05F4" w:rsidRPr="004D28F0" w:rsidRDefault="00DD723A"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80</w:t>
            </w:r>
            <w:r w:rsidR="003F05F4" w:rsidRPr="004D28F0">
              <w:rPr>
                <w:rFonts w:asciiTheme="majorHAnsi" w:eastAsia="Times New Roman" w:hAnsiTheme="majorHAnsi"/>
                <w:b/>
                <w:bCs/>
                <w:color w:val="FFFFFF"/>
                <w:sz w:val="18"/>
                <w:szCs w:val="18"/>
              </w:rPr>
              <w:t>%</w:t>
            </w:r>
          </w:p>
        </w:tc>
        <w:tc>
          <w:tcPr>
            <w:tcW w:w="877" w:type="dxa"/>
            <w:tcBorders>
              <w:top w:val="nil"/>
              <w:left w:val="nil"/>
              <w:bottom w:val="single" w:sz="4" w:space="0" w:color="auto"/>
              <w:right w:val="single" w:sz="4" w:space="0" w:color="FFFFFF"/>
            </w:tcBorders>
            <w:shd w:val="clear" w:color="000000" w:fill="215967"/>
            <w:noWrap/>
            <w:vAlign w:val="center"/>
            <w:hideMark/>
          </w:tcPr>
          <w:p w14:paraId="5272FD5A" w14:textId="15F3B7E4" w:rsidR="003F05F4" w:rsidRPr="004D28F0" w:rsidRDefault="00DD723A"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91</w:t>
            </w:r>
            <w:r w:rsidR="003F05F4" w:rsidRPr="004D28F0">
              <w:rPr>
                <w:rFonts w:asciiTheme="majorHAnsi" w:eastAsia="Times New Roman" w:hAnsiTheme="majorHAnsi"/>
                <w:b/>
                <w:bCs/>
                <w:color w:val="FFFFFF"/>
                <w:sz w:val="18"/>
                <w:szCs w:val="18"/>
              </w:rPr>
              <w:t>%</w:t>
            </w:r>
          </w:p>
        </w:tc>
        <w:tc>
          <w:tcPr>
            <w:tcW w:w="877" w:type="dxa"/>
            <w:tcBorders>
              <w:top w:val="nil"/>
              <w:left w:val="nil"/>
              <w:bottom w:val="single" w:sz="4" w:space="0" w:color="auto"/>
              <w:right w:val="single" w:sz="4" w:space="0" w:color="FFFFFF"/>
            </w:tcBorders>
            <w:shd w:val="clear" w:color="000000" w:fill="215967"/>
            <w:noWrap/>
            <w:vAlign w:val="center"/>
            <w:hideMark/>
          </w:tcPr>
          <w:p w14:paraId="206E4515" w14:textId="41E2734E" w:rsidR="003F05F4" w:rsidRPr="004D28F0" w:rsidRDefault="003F05F4"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8</w:t>
            </w:r>
            <w:r w:rsidR="00EF615E" w:rsidRPr="004D28F0">
              <w:rPr>
                <w:rFonts w:asciiTheme="majorHAnsi" w:eastAsia="Times New Roman" w:hAnsiTheme="majorHAnsi"/>
                <w:b/>
                <w:bCs/>
                <w:color w:val="FFFFFF"/>
                <w:sz w:val="18"/>
                <w:szCs w:val="18"/>
              </w:rPr>
              <w:t>5</w:t>
            </w:r>
            <w:r w:rsidRPr="004D28F0">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415CF2DF" w14:textId="276E4A22" w:rsidR="003F05F4" w:rsidRPr="004D28F0" w:rsidRDefault="00EF615E"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79</w:t>
            </w:r>
            <w:r w:rsidR="003F05F4" w:rsidRPr="004D28F0">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nil"/>
            </w:tcBorders>
            <w:shd w:val="clear" w:color="000000" w:fill="215967"/>
            <w:noWrap/>
            <w:vAlign w:val="center"/>
            <w:hideMark/>
          </w:tcPr>
          <w:p w14:paraId="25DE305A" w14:textId="4D1EC92D" w:rsidR="003F05F4" w:rsidRPr="004D28F0" w:rsidRDefault="00565E46"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9</w:t>
            </w:r>
            <w:r w:rsidR="003F05F4" w:rsidRPr="004D28F0">
              <w:rPr>
                <w:rFonts w:asciiTheme="majorHAnsi" w:eastAsia="Times New Roman" w:hAnsiTheme="majorHAnsi"/>
                <w:b/>
                <w:bCs/>
                <w:color w:val="FFFFFF"/>
                <w:sz w:val="18"/>
                <w:szCs w:val="18"/>
              </w:rPr>
              <w:t>0%</w:t>
            </w:r>
          </w:p>
        </w:tc>
        <w:tc>
          <w:tcPr>
            <w:tcW w:w="830" w:type="dxa"/>
            <w:tcBorders>
              <w:top w:val="nil"/>
              <w:left w:val="single" w:sz="4" w:space="0" w:color="FFFFFF"/>
              <w:bottom w:val="single" w:sz="4" w:space="0" w:color="auto"/>
              <w:right w:val="nil"/>
            </w:tcBorders>
            <w:shd w:val="clear" w:color="000000" w:fill="215967"/>
            <w:noWrap/>
            <w:vAlign w:val="center"/>
            <w:hideMark/>
          </w:tcPr>
          <w:p w14:paraId="57F1B048" w14:textId="3118A07C" w:rsidR="003F05F4" w:rsidRPr="004D28F0" w:rsidRDefault="00565E46" w:rsidP="00E377A0">
            <w:pPr>
              <w:spacing w:after="0" w:line="240" w:lineRule="auto"/>
              <w:jc w:val="center"/>
              <w:rPr>
                <w:rFonts w:asciiTheme="majorHAnsi" w:eastAsia="Times New Roman" w:hAnsiTheme="majorHAnsi" w:cs="Arial"/>
                <w:b/>
                <w:bCs/>
                <w:color w:val="FFFFFF"/>
                <w:sz w:val="18"/>
                <w:szCs w:val="18"/>
              </w:rPr>
            </w:pPr>
            <w:r w:rsidRPr="004D28F0">
              <w:rPr>
                <w:rFonts w:asciiTheme="majorHAnsi" w:eastAsia="Times New Roman" w:hAnsiTheme="majorHAnsi"/>
                <w:b/>
                <w:bCs/>
                <w:color w:val="FFFFFF"/>
                <w:sz w:val="18"/>
                <w:szCs w:val="18"/>
              </w:rPr>
              <w:t>78</w:t>
            </w:r>
            <w:r w:rsidR="003F05F4" w:rsidRPr="004D28F0">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8" w:space="0" w:color="auto"/>
            </w:tcBorders>
            <w:shd w:val="clear" w:color="000000" w:fill="215967"/>
            <w:noWrap/>
            <w:vAlign w:val="center"/>
            <w:hideMark/>
          </w:tcPr>
          <w:p w14:paraId="6E048DD9" w14:textId="18D1866C" w:rsidR="003F05F4" w:rsidRPr="004D28F0" w:rsidRDefault="00A17755">
            <w:pPr>
              <w:spacing w:after="0" w:line="240" w:lineRule="auto"/>
              <w:jc w:val="center"/>
              <w:rPr>
                <w:rFonts w:asciiTheme="majorHAnsi" w:eastAsia="Times New Roman" w:hAnsiTheme="majorHAnsi" w:cs="Arial"/>
                <w:b/>
                <w:bCs/>
                <w:color w:val="FFFFFF"/>
                <w:sz w:val="18"/>
                <w:szCs w:val="18"/>
              </w:rPr>
            </w:pPr>
            <w:r>
              <w:rPr>
                <w:rFonts w:asciiTheme="majorHAnsi" w:eastAsia="Times New Roman" w:hAnsiTheme="majorHAnsi"/>
                <w:b/>
                <w:bCs/>
                <w:color w:val="FFFFFF"/>
                <w:sz w:val="18"/>
                <w:szCs w:val="18"/>
              </w:rPr>
              <w:t>90</w:t>
            </w:r>
            <w:r w:rsidR="003F05F4" w:rsidRPr="004D28F0">
              <w:rPr>
                <w:rFonts w:asciiTheme="majorHAnsi" w:eastAsia="Times New Roman" w:hAnsiTheme="majorHAnsi"/>
                <w:b/>
                <w:bCs/>
                <w:color w:val="FFFFFF"/>
                <w:sz w:val="18"/>
                <w:szCs w:val="18"/>
              </w:rPr>
              <w:t>%</w:t>
            </w:r>
          </w:p>
        </w:tc>
      </w:tr>
      <w:tr w:rsidR="003F05F4" w:rsidRPr="00565E46" w14:paraId="0C69D585"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2C63180E" w14:textId="77777777" w:rsidR="003F05F4" w:rsidRPr="004D28F0" w:rsidRDefault="003F05F4" w:rsidP="00E377A0">
            <w:pPr>
              <w:spacing w:after="0" w:line="240" w:lineRule="auto"/>
              <w:rPr>
                <w:rFonts w:ascii="Cambria" w:eastAsia="Times New Roman" w:hAnsi="Cambria" w:cs="Arial"/>
                <w:color w:val="000000"/>
                <w:sz w:val="18"/>
                <w:szCs w:val="18"/>
              </w:rPr>
            </w:pPr>
            <w:r w:rsidRPr="004D28F0">
              <w:rPr>
                <w:rFonts w:ascii="Cambria" w:eastAsia="Times New Roman" w:hAnsi="Cambria" w:cs="Arial"/>
                <w:color w:val="000000"/>
                <w:sz w:val="18"/>
                <w:szCs w:val="18"/>
              </w:rPr>
              <w:t xml:space="preserve">    Item 1: Timeliness of Initiating Investigations</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709EA6F3" w14:textId="391E9AC0" w:rsidR="003F05F4" w:rsidRPr="004D28F0" w:rsidRDefault="00816542"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92</w:t>
            </w:r>
            <w:r w:rsidR="003F05F4" w:rsidRPr="004D28F0">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177BEA0" w14:textId="66239675" w:rsidR="003F05F4" w:rsidRPr="004D28F0" w:rsidRDefault="00816542"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100</w:t>
            </w:r>
            <w:r w:rsidR="003F05F4" w:rsidRPr="004D28F0">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39D8CDD4" w14:textId="7E4FF71E" w:rsidR="003F05F4" w:rsidRPr="004D28F0" w:rsidRDefault="003F05F4"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8</w:t>
            </w:r>
            <w:r w:rsidR="00DD723A" w:rsidRPr="004D28F0">
              <w:rPr>
                <w:rFonts w:asciiTheme="majorHAnsi" w:eastAsia="Times New Roman" w:hAnsiTheme="majorHAnsi"/>
                <w:color w:val="000000"/>
                <w:sz w:val="18"/>
                <w:szCs w:val="18"/>
              </w:rPr>
              <w:t>9</w:t>
            </w:r>
            <w:r w:rsidRPr="004D28F0">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D5CFF5A" w14:textId="5CC83A53" w:rsidR="003F05F4" w:rsidRPr="004D28F0" w:rsidRDefault="00DD723A"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80</w:t>
            </w:r>
            <w:r w:rsidR="003F05F4" w:rsidRPr="004D28F0">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03BD0886" w14:textId="087268E2" w:rsidR="003F05F4" w:rsidRPr="004D28F0" w:rsidRDefault="00EF615E"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91</w:t>
            </w:r>
            <w:r w:rsidR="003F05F4" w:rsidRPr="004D28F0">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05FCB494" w14:textId="282E5AB4" w:rsidR="003F05F4" w:rsidRPr="004D28F0" w:rsidRDefault="003F05F4"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8</w:t>
            </w:r>
            <w:r w:rsidR="00EF615E" w:rsidRPr="004D28F0">
              <w:rPr>
                <w:rFonts w:asciiTheme="majorHAnsi" w:eastAsia="Times New Roman" w:hAnsiTheme="majorHAnsi"/>
                <w:color w:val="000000"/>
                <w:sz w:val="18"/>
                <w:szCs w:val="18"/>
              </w:rPr>
              <w:t>5</w:t>
            </w:r>
            <w:r w:rsidRPr="004D28F0">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AA85893" w14:textId="155A7280" w:rsidR="003F05F4" w:rsidRPr="004D28F0" w:rsidRDefault="00EF615E"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79</w:t>
            </w:r>
            <w:r w:rsidR="003F05F4" w:rsidRPr="004D28F0">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75ACBD4" w14:textId="0F2F7A66" w:rsidR="003F05F4" w:rsidRPr="004D28F0" w:rsidRDefault="00565E46"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9</w:t>
            </w:r>
            <w:r w:rsidR="003F05F4" w:rsidRPr="004D28F0">
              <w:rPr>
                <w:rFonts w:asciiTheme="majorHAnsi" w:eastAsia="Times New Roman" w:hAnsiTheme="majorHAnsi"/>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center"/>
            <w:hideMark/>
          </w:tcPr>
          <w:p w14:paraId="314A6859" w14:textId="2B774517" w:rsidR="003F05F4" w:rsidRPr="004D28F0" w:rsidRDefault="00565E46" w:rsidP="00E377A0">
            <w:pPr>
              <w:spacing w:after="0" w:line="240" w:lineRule="auto"/>
              <w:jc w:val="center"/>
              <w:rPr>
                <w:rFonts w:asciiTheme="majorHAnsi" w:eastAsia="Times New Roman" w:hAnsiTheme="majorHAnsi" w:cs="Arial"/>
                <w:color w:val="000000"/>
                <w:sz w:val="18"/>
                <w:szCs w:val="18"/>
              </w:rPr>
            </w:pPr>
            <w:r w:rsidRPr="004D28F0">
              <w:rPr>
                <w:rFonts w:asciiTheme="majorHAnsi" w:eastAsia="Times New Roman" w:hAnsiTheme="majorHAnsi"/>
                <w:color w:val="000000"/>
                <w:sz w:val="18"/>
                <w:szCs w:val="18"/>
              </w:rPr>
              <w:t>78</w:t>
            </w:r>
            <w:r w:rsidR="003F05F4" w:rsidRPr="004D28F0">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0E91DA21" w14:textId="19A25960" w:rsidR="003F05F4" w:rsidRPr="007A4416"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90</w:t>
            </w:r>
            <w:r w:rsidR="003F05F4" w:rsidRPr="007A4416">
              <w:rPr>
                <w:rFonts w:asciiTheme="majorHAnsi" w:eastAsia="Times New Roman" w:hAnsiTheme="majorHAnsi"/>
                <w:color w:val="000000"/>
                <w:sz w:val="18"/>
                <w:szCs w:val="18"/>
              </w:rPr>
              <w:t>%</w:t>
            </w:r>
          </w:p>
        </w:tc>
      </w:tr>
      <w:tr w:rsidR="003F05F4" w:rsidRPr="00565E46" w14:paraId="644E5729" w14:textId="77777777" w:rsidTr="008D708D">
        <w:trPr>
          <w:trHeight w:val="630"/>
          <w:jc w:val="center"/>
        </w:trPr>
        <w:tc>
          <w:tcPr>
            <w:tcW w:w="6907" w:type="dxa"/>
            <w:tcBorders>
              <w:top w:val="nil"/>
              <w:left w:val="single" w:sz="8" w:space="0" w:color="auto"/>
              <w:bottom w:val="single" w:sz="4" w:space="0" w:color="auto"/>
              <w:right w:val="nil"/>
            </w:tcBorders>
            <w:shd w:val="clear" w:color="000000" w:fill="215967"/>
            <w:vAlign w:val="center"/>
            <w:hideMark/>
          </w:tcPr>
          <w:p w14:paraId="53310544" w14:textId="77777777" w:rsidR="003F05F4" w:rsidRPr="007A4416" w:rsidRDefault="003F05F4" w:rsidP="00E377A0">
            <w:pPr>
              <w:spacing w:after="0" w:line="240" w:lineRule="auto"/>
              <w:rPr>
                <w:rFonts w:ascii="Cambria" w:eastAsia="Times New Roman" w:hAnsi="Cambria" w:cs="Arial"/>
                <w:b/>
                <w:bCs/>
                <w:color w:val="FFFFFF"/>
                <w:sz w:val="18"/>
                <w:szCs w:val="18"/>
              </w:rPr>
            </w:pPr>
            <w:r w:rsidRPr="007A4416">
              <w:rPr>
                <w:rFonts w:ascii="Cambria" w:eastAsia="Times New Roman" w:hAnsi="Cambria" w:cs="Arial"/>
                <w:b/>
                <w:bCs/>
                <w:color w:val="FFFFFF"/>
                <w:sz w:val="18"/>
                <w:szCs w:val="18"/>
              </w:rPr>
              <w:t>Safety 2: Children are safely maintained in their homes whenever possible and appropriate</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1AA3D327" w14:textId="65263B14" w:rsidR="003F05F4" w:rsidRPr="007A4416" w:rsidRDefault="00816542"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8</w:t>
            </w:r>
            <w:r w:rsidR="003F05F4" w:rsidRPr="007A4416">
              <w:rPr>
                <w:rFonts w:asciiTheme="majorHAnsi" w:eastAsia="Times New Roman" w:hAnsiTheme="majorHAnsi"/>
                <w:b/>
                <w:bCs/>
                <w:color w:val="FFFFFF"/>
                <w:sz w:val="18"/>
                <w:szCs w:val="18"/>
              </w:rPr>
              <w:t>0%</w:t>
            </w:r>
          </w:p>
        </w:tc>
        <w:tc>
          <w:tcPr>
            <w:tcW w:w="830" w:type="dxa"/>
            <w:tcBorders>
              <w:top w:val="nil"/>
              <w:left w:val="nil"/>
              <w:bottom w:val="single" w:sz="4" w:space="0" w:color="auto"/>
              <w:right w:val="single" w:sz="4" w:space="0" w:color="FFFFFF"/>
            </w:tcBorders>
            <w:shd w:val="clear" w:color="000000" w:fill="215967"/>
            <w:noWrap/>
            <w:vAlign w:val="center"/>
            <w:hideMark/>
          </w:tcPr>
          <w:p w14:paraId="19E843A8" w14:textId="7283DB22" w:rsidR="003F05F4" w:rsidRPr="007A4416" w:rsidRDefault="00816542"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8</w:t>
            </w:r>
            <w:r w:rsidR="003F05F4" w:rsidRPr="007A4416">
              <w:rPr>
                <w:rFonts w:asciiTheme="majorHAnsi" w:eastAsia="Times New Roman" w:hAnsiTheme="majorHAnsi"/>
                <w:b/>
                <w:bCs/>
                <w:color w:val="FFFFFF"/>
                <w:sz w:val="18"/>
                <w:szCs w:val="18"/>
              </w:rPr>
              <w:t>5%</w:t>
            </w:r>
          </w:p>
        </w:tc>
        <w:tc>
          <w:tcPr>
            <w:tcW w:w="820" w:type="dxa"/>
            <w:tcBorders>
              <w:top w:val="nil"/>
              <w:left w:val="nil"/>
              <w:bottom w:val="single" w:sz="4" w:space="0" w:color="auto"/>
              <w:right w:val="single" w:sz="4" w:space="0" w:color="FFFFFF"/>
            </w:tcBorders>
            <w:shd w:val="clear" w:color="000000" w:fill="215967"/>
            <w:noWrap/>
            <w:vAlign w:val="center"/>
            <w:hideMark/>
          </w:tcPr>
          <w:p w14:paraId="7E783841" w14:textId="34B9E642" w:rsidR="003F05F4" w:rsidRPr="007A4416" w:rsidRDefault="00DD723A"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8</w:t>
            </w:r>
            <w:r w:rsidR="003F05F4" w:rsidRPr="007A4416">
              <w:rPr>
                <w:rFonts w:asciiTheme="majorHAnsi" w:eastAsia="Times New Roman" w:hAnsiTheme="majorHAnsi"/>
                <w:b/>
                <w:bCs/>
                <w:color w:val="FFFFFF"/>
                <w:sz w:val="18"/>
                <w:szCs w:val="18"/>
              </w:rPr>
              <w:t>5%</w:t>
            </w:r>
          </w:p>
        </w:tc>
        <w:tc>
          <w:tcPr>
            <w:tcW w:w="830" w:type="dxa"/>
            <w:tcBorders>
              <w:top w:val="nil"/>
              <w:left w:val="nil"/>
              <w:bottom w:val="single" w:sz="4" w:space="0" w:color="auto"/>
              <w:right w:val="single" w:sz="4" w:space="0" w:color="FFFFFF"/>
            </w:tcBorders>
            <w:shd w:val="clear" w:color="000000" w:fill="215967"/>
            <w:noWrap/>
            <w:vAlign w:val="center"/>
            <w:hideMark/>
          </w:tcPr>
          <w:p w14:paraId="6513069A" w14:textId="5AC33E07" w:rsidR="003F05F4" w:rsidRPr="007A4416" w:rsidRDefault="00DD723A"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9</w:t>
            </w:r>
            <w:r w:rsidR="003F05F4" w:rsidRPr="007A4416">
              <w:rPr>
                <w:rFonts w:asciiTheme="majorHAnsi" w:eastAsia="Times New Roman" w:hAnsiTheme="majorHAnsi"/>
                <w:b/>
                <w:bCs/>
                <w:color w:val="FFFFFF"/>
                <w:sz w:val="18"/>
                <w:szCs w:val="18"/>
              </w:rPr>
              <w:t>0%</w:t>
            </w:r>
          </w:p>
        </w:tc>
        <w:tc>
          <w:tcPr>
            <w:tcW w:w="877" w:type="dxa"/>
            <w:tcBorders>
              <w:top w:val="nil"/>
              <w:left w:val="nil"/>
              <w:bottom w:val="single" w:sz="4" w:space="0" w:color="auto"/>
              <w:right w:val="nil"/>
            </w:tcBorders>
            <w:shd w:val="clear" w:color="000000" w:fill="215967"/>
            <w:noWrap/>
            <w:vAlign w:val="center"/>
            <w:hideMark/>
          </w:tcPr>
          <w:p w14:paraId="25F13EDA" w14:textId="044B7F6F" w:rsidR="003F05F4" w:rsidRPr="007A4416" w:rsidRDefault="00EF615E"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85</w:t>
            </w:r>
            <w:r w:rsidR="003F05F4" w:rsidRPr="007A4416">
              <w:rPr>
                <w:rFonts w:asciiTheme="majorHAnsi" w:eastAsia="Times New Roman" w:hAnsiTheme="majorHAnsi"/>
                <w:b/>
                <w:bCs/>
                <w:color w:val="FFFFFF"/>
                <w:sz w:val="18"/>
                <w:szCs w:val="18"/>
              </w:rPr>
              <w:t>%</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3305032B" w14:textId="5F648AB5" w:rsidR="003F05F4" w:rsidRPr="007A4416" w:rsidRDefault="00EF615E"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85</w:t>
            </w:r>
            <w:r w:rsidR="003F05F4" w:rsidRPr="007A4416">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62575785" w14:textId="08AA50F6" w:rsidR="003F05F4" w:rsidRPr="007A4416" w:rsidRDefault="003F05F4"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65%</w:t>
            </w:r>
          </w:p>
        </w:tc>
        <w:tc>
          <w:tcPr>
            <w:tcW w:w="830" w:type="dxa"/>
            <w:tcBorders>
              <w:top w:val="nil"/>
              <w:left w:val="nil"/>
              <w:bottom w:val="single" w:sz="4" w:space="0" w:color="auto"/>
              <w:right w:val="nil"/>
            </w:tcBorders>
            <w:shd w:val="clear" w:color="000000" w:fill="215967"/>
            <w:noWrap/>
            <w:vAlign w:val="center"/>
            <w:hideMark/>
          </w:tcPr>
          <w:p w14:paraId="4BC56D6C" w14:textId="2F2A233D" w:rsidR="003F05F4" w:rsidRPr="007A4416" w:rsidRDefault="00565E46"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85</w:t>
            </w:r>
            <w:r w:rsidR="003F05F4" w:rsidRPr="007A4416">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4" w:space="0" w:color="FFFFFF"/>
            </w:tcBorders>
            <w:shd w:val="clear" w:color="000000" w:fill="215967"/>
            <w:noWrap/>
            <w:vAlign w:val="center"/>
            <w:hideMark/>
          </w:tcPr>
          <w:p w14:paraId="7003957C" w14:textId="7E969AB2" w:rsidR="003F05F4" w:rsidRPr="007A4416" w:rsidRDefault="003F05F4"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8</w:t>
            </w:r>
            <w:r w:rsidR="00565E46" w:rsidRPr="007A4416">
              <w:rPr>
                <w:rFonts w:asciiTheme="majorHAnsi" w:eastAsia="Times New Roman" w:hAnsiTheme="majorHAnsi"/>
                <w:b/>
                <w:bCs/>
                <w:color w:val="FFFFFF"/>
                <w:sz w:val="18"/>
                <w:szCs w:val="18"/>
              </w:rPr>
              <w:t>0</w:t>
            </w:r>
            <w:r w:rsidRPr="007A4416">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8" w:space="0" w:color="auto"/>
            </w:tcBorders>
            <w:shd w:val="clear" w:color="000000" w:fill="215967"/>
            <w:noWrap/>
            <w:vAlign w:val="center"/>
            <w:hideMark/>
          </w:tcPr>
          <w:p w14:paraId="548A9A4D" w14:textId="72B9A010" w:rsidR="003F05F4" w:rsidRPr="007A4416" w:rsidRDefault="00A17755" w:rsidP="00E377A0">
            <w:pPr>
              <w:spacing w:after="0" w:line="240" w:lineRule="auto"/>
              <w:jc w:val="center"/>
              <w:rPr>
                <w:rFonts w:asciiTheme="majorHAnsi" w:eastAsia="Times New Roman" w:hAnsiTheme="majorHAnsi" w:cs="Arial"/>
                <w:b/>
                <w:bCs/>
                <w:color w:val="FFFFFF"/>
                <w:sz w:val="18"/>
                <w:szCs w:val="18"/>
              </w:rPr>
            </w:pPr>
            <w:r>
              <w:rPr>
                <w:rFonts w:asciiTheme="majorHAnsi" w:eastAsia="Times New Roman" w:hAnsiTheme="majorHAnsi"/>
                <w:b/>
                <w:bCs/>
                <w:color w:val="FFFFFF"/>
                <w:sz w:val="18"/>
                <w:szCs w:val="18"/>
              </w:rPr>
              <w:t>90</w:t>
            </w:r>
            <w:r w:rsidR="003F05F4" w:rsidRPr="007A4416">
              <w:rPr>
                <w:rFonts w:asciiTheme="majorHAnsi" w:eastAsia="Times New Roman" w:hAnsiTheme="majorHAnsi"/>
                <w:b/>
                <w:bCs/>
                <w:color w:val="FFFFFF"/>
                <w:sz w:val="18"/>
                <w:szCs w:val="18"/>
              </w:rPr>
              <w:t>%</w:t>
            </w:r>
          </w:p>
        </w:tc>
      </w:tr>
      <w:tr w:rsidR="003F05F4" w:rsidRPr="00565E46" w14:paraId="5E0FF8A1"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2C729BE8" w14:textId="77777777" w:rsidR="003F05F4" w:rsidRPr="007A4416" w:rsidRDefault="003F05F4" w:rsidP="00E377A0">
            <w:pPr>
              <w:spacing w:after="0" w:line="240" w:lineRule="auto"/>
              <w:rPr>
                <w:rFonts w:ascii="Cambria" w:eastAsia="Times New Roman" w:hAnsi="Cambria" w:cs="Arial"/>
                <w:color w:val="000000"/>
                <w:sz w:val="18"/>
                <w:szCs w:val="18"/>
              </w:rPr>
            </w:pPr>
            <w:r w:rsidRPr="007A4416">
              <w:rPr>
                <w:rFonts w:ascii="Cambria" w:eastAsia="Times New Roman" w:hAnsi="Cambria" w:cs="Arial"/>
                <w:color w:val="000000"/>
                <w:sz w:val="18"/>
                <w:szCs w:val="18"/>
              </w:rPr>
              <w:t xml:space="preserve">    Item 2: Services to Prevent Removal</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43D3EF38" w14:textId="563E7A53" w:rsidR="003F05F4" w:rsidRPr="007A4416" w:rsidRDefault="00816542"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88</w:t>
            </w:r>
            <w:r w:rsidR="003F05F4" w:rsidRPr="007A4416">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48D0C50" w14:textId="35E7AD60" w:rsidR="003F05F4" w:rsidRPr="007A4416" w:rsidRDefault="00816542"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80</w:t>
            </w:r>
            <w:r w:rsidR="003F05F4" w:rsidRPr="007A4416">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221E3228" w14:textId="2D9EB295" w:rsidR="003F05F4" w:rsidRPr="007A4416" w:rsidRDefault="003F05F4"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100%</w:t>
            </w:r>
          </w:p>
        </w:tc>
        <w:tc>
          <w:tcPr>
            <w:tcW w:w="830" w:type="dxa"/>
            <w:tcBorders>
              <w:top w:val="nil"/>
              <w:left w:val="nil"/>
              <w:bottom w:val="single" w:sz="4" w:space="0" w:color="auto"/>
              <w:right w:val="single" w:sz="4" w:space="0" w:color="auto"/>
            </w:tcBorders>
            <w:shd w:val="clear" w:color="auto" w:fill="auto"/>
            <w:noWrap/>
            <w:vAlign w:val="center"/>
            <w:hideMark/>
          </w:tcPr>
          <w:p w14:paraId="7B76DAE1" w14:textId="13F312F2" w:rsidR="003F05F4" w:rsidRPr="007A4416" w:rsidRDefault="00DD723A"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10</w:t>
            </w:r>
            <w:r w:rsidR="003F05F4" w:rsidRPr="007A4416">
              <w:rPr>
                <w:rFonts w:asciiTheme="majorHAnsi" w:eastAsia="Times New Roman" w:hAnsiTheme="majorHAnsi"/>
                <w:color w:val="000000"/>
                <w:sz w:val="18"/>
                <w:szCs w:val="18"/>
              </w:rPr>
              <w:t>0%</w:t>
            </w:r>
          </w:p>
        </w:tc>
        <w:tc>
          <w:tcPr>
            <w:tcW w:w="877" w:type="dxa"/>
            <w:tcBorders>
              <w:top w:val="nil"/>
              <w:left w:val="nil"/>
              <w:bottom w:val="single" w:sz="4" w:space="0" w:color="auto"/>
              <w:right w:val="single" w:sz="4" w:space="0" w:color="auto"/>
            </w:tcBorders>
            <w:shd w:val="clear" w:color="auto" w:fill="auto"/>
            <w:noWrap/>
            <w:vAlign w:val="center"/>
            <w:hideMark/>
          </w:tcPr>
          <w:p w14:paraId="19B7EC57" w14:textId="6F2A83EF" w:rsidR="003F05F4" w:rsidRPr="007A4416" w:rsidRDefault="00EF615E"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100</w:t>
            </w:r>
            <w:r w:rsidR="003F05F4" w:rsidRPr="007A4416">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3FF29029" w14:textId="4D14669A" w:rsidR="003F05F4" w:rsidRPr="007A4416" w:rsidRDefault="00EF615E"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100</w:t>
            </w:r>
            <w:r w:rsidR="003F05F4" w:rsidRPr="007A4416">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7914478" w14:textId="22B108AD" w:rsidR="003F05F4" w:rsidRPr="007A4416" w:rsidRDefault="00EF615E"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100</w:t>
            </w:r>
            <w:r w:rsidR="003F05F4" w:rsidRPr="007A4416">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AFC85AF" w14:textId="74A13D26" w:rsidR="003F05F4" w:rsidRPr="007A4416" w:rsidRDefault="003F05F4"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100%</w:t>
            </w:r>
          </w:p>
        </w:tc>
        <w:tc>
          <w:tcPr>
            <w:tcW w:w="830" w:type="dxa"/>
            <w:tcBorders>
              <w:top w:val="nil"/>
              <w:left w:val="nil"/>
              <w:bottom w:val="single" w:sz="4" w:space="0" w:color="auto"/>
              <w:right w:val="single" w:sz="4" w:space="0" w:color="auto"/>
            </w:tcBorders>
            <w:shd w:val="clear" w:color="auto" w:fill="auto"/>
            <w:noWrap/>
            <w:vAlign w:val="center"/>
            <w:hideMark/>
          </w:tcPr>
          <w:p w14:paraId="44A17F76" w14:textId="52EEFB33" w:rsidR="003F05F4" w:rsidRPr="007A4416" w:rsidRDefault="003F05F4"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86%</w:t>
            </w:r>
          </w:p>
        </w:tc>
        <w:tc>
          <w:tcPr>
            <w:tcW w:w="830" w:type="dxa"/>
            <w:tcBorders>
              <w:top w:val="nil"/>
              <w:left w:val="nil"/>
              <w:bottom w:val="single" w:sz="4" w:space="0" w:color="auto"/>
              <w:right w:val="single" w:sz="8" w:space="0" w:color="auto"/>
            </w:tcBorders>
            <w:shd w:val="clear" w:color="auto" w:fill="auto"/>
            <w:noWrap/>
            <w:vAlign w:val="center"/>
            <w:hideMark/>
          </w:tcPr>
          <w:p w14:paraId="02A3B97F" w14:textId="7CA68972" w:rsidR="003F05F4" w:rsidRPr="007A4416"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100</w:t>
            </w:r>
            <w:r w:rsidR="003F05F4" w:rsidRPr="007A4416">
              <w:rPr>
                <w:rFonts w:asciiTheme="majorHAnsi" w:eastAsia="Times New Roman" w:hAnsiTheme="majorHAnsi"/>
                <w:color w:val="000000"/>
                <w:sz w:val="18"/>
                <w:szCs w:val="18"/>
              </w:rPr>
              <w:t>%</w:t>
            </w:r>
          </w:p>
        </w:tc>
      </w:tr>
      <w:tr w:rsidR="003F05F4" w:rsidRPr="00565E46" w14:paraId="4E64E88B"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25C21AE0" w14:textId="77777777" w:rsidR="003F05F4" w:rsidRPr="007A4416" w:rsidRDefault="003F05F4" w:rsidP="00E377A0">
            <w:pPr>
              <w:spacing w:after="0" w:line="240" w:lineRule="auto"/>
              <w:rPr>
                <w:rFonts w:ascii="Cambria" w:eastAsia="Times New Roman" w:hAnsi="Cambria" w:cs="Arial"/>
                <w:color w:val="000000"/>
                <w:sz w:val="18"/>
                <w:szCs w:val="18"/>
              </w:rPr>
            </w:pPr>
            <w:r w:rsidRPr="007A4416">
              <w:rPr>
                <w:rFonts w:ascii="Cambria" w:eastAsia="Times New Roman" w:hAnsi="Cambria" w:cs="Arial"/>
                <w:color w:val="000000"/>
                <w:sz w:val="18"/>
                <w:szCs w:val="18"/>
              </w:rPr>
              <w:t xml:space="preserve">    Item 3: Risk and Safety Assessment and Management</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228DBA73" w14:textId="1BF3C7E3" w:rsidR="003F05F4" w:rsidRPr="007A4416" w:rsidRDefault="00816542"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80</w:t>
            </w:r>
            <w:r w:rsidR="003F05F4" w:rsidRPr="007A4416">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23694A9" w14:textId="72481179" w:rsidR="003F05F4" w:rsidRPr="007A4416" w:rsidRDefault="00816542"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w:t>
            </w:r>
            <w:r w:rsidR="003F05F4" w:rsidRPr="007A4416">
              <w:rPr>
                <w:rFonts w:asciiTheme="majorHAnsi" w:eastAsia="Times New Roman" w:hAnsiTheme="majorHAnsi"/>
                <w:color w:val="000000"/>
                <w:sz w:val="18"/>
                <w:szCs w:val="18"/>
              </w:rPr>
              <w:t>5%</w:t>
            </w:r>
          </w:p>
        </w:tc>
        <w:tc>
          <w:tcPr>
            <w:tcW w:w="820" w:type="dxa"/>
            <w:tcBorders>
              <w:top w:val="nil"/>
              <w:left w:val="nil"/>
              <w:bottom w:val="single" w:sz="4" w:space="0" w:color="auto"/>
              <w:right w:val="single" w:sz="4" w:space="0" w:color="auto"/>
            </w:tcBorders>
            <w:shd w:val="clear" w:color="auto" w:fill="auto"/>
            <w:noWrap/>
            <w:vAlign w:val="center"/>
            <w:hideMark/>
          </w:tcPr>
          <w:p w14:paraId="72F1EAC9" w14:textId="51D35022" w:rsidR="003F05F4" w:rsidRPr="007A4416" w:rsidRDefault="00DD723A"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w:t>
            </w:r>
            <w:r w:rsidR="003F05F4" w:rsidRPr="007A4416">
              <w:rPr>
                <w:rFonts w:asciiTheme="majorHAnsi" w:eastAsia="Times New Roman" w:hAnsiTheme="majorHAnsi"/>
                <w:color w:val="000000"/>
                <w:sz w:val="18"/>
                <w:szCs w:val="18"/>
              </w:rPr>
              <w:t>5%</w:t>
            </w:r>
          </w:p>
        </w:tc>
        <w:tc>
          <w:tcPr>
            <w:tcW w:w="830" w:type="dxa"/>
            <w:tcBorders>
              <w:top w:val="nil"/>
              <w:left w:val="nil"/>
              <w:bottom w:val="single" w:sz="4" w:space="0" w:color="auto"/>
              <w:right w:val="single" w:sz="4" w:space="0" w:color="auto"/>
            </w:tcBorders>
            <w:shd w:val="clear" w:color="auto" w:fill="auto"/>
            <w:noWrap/>
            <w:vAlign w:val="center"/>
            <w:hideMark/>
          </w:tcPr>
          <w:p w14:paraId="45C92797" w14:textId="32B607E3" w:rsidR="003F05F4" w:rsidRPr="007A4416" w:rsidRDefault="00DD723A"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90</w:t>
            </w:r>
            <w:r w:rsidR="003F05F4" w:rsidRPr="007A4416">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5100AE63" w14:textId="0C5959A6" w:rsidR="003F05F4" w:rsidRPr="007A4416" w:rsidRDefault="00EF615E"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85</w:t>
            </w:r>
            <w:r w:rsidR="003F05F4" w:rsidRPr="007A4416">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222EE056" w14:textId="5AD0E209" w:rsidR="003F05F4" w:rsidRPr="007A4416" w:rsidRDefault="00EF615E"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w:t>
            </w:r>
            <w:r w:rsidR="003F05F4" w:rsidRPr="007A4416">
              <w:rPr>
                <w:rFonts w:asciiTheme="majorHAnsi" w:eastAsia="Times New Roman" w:hAnsiTheme="majorHAnsi"/>
                <w:color w:val="000000"/>
                <w:sz w:val="18"/>
                <w:szCs w:val="18"/>
              </w:rPr>
              <w:t>5%</w:t>
            </w:r>
          </w:p>
        </w:tc>
        <w:tc>
          <w:tcPr>
            <w:tcW w:w="830" w:type="dxa"/>
            <w:tcBorders>
              <w:top w:val="nil"/>
              <w:left w:val="nil"/>
              <w:bottom w:val="single" w:sz="4" w:space="0" w:color="auto"/>
              <w:right w:val="single" w:sz="4" w:space="0" w:color="auto"/>
            </w:tcBorders>
            <w:shd w:val="clear" w:color="auto" w:fill="auto"/>
            <w:noWrap/>
            <w:vAlign w:val="center"/>
            <w:hideMark/>
          </w:tcPr>
          <w:p w14:paraId="7B610AF2" w14:textId="2CEF0095" w:rsidR="003F05F4" w:rsidRPr="007A4416" w:rsidRDefault="003F05F4"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65%</w:t>
            </w:r>
          </w:p>
        </w:tc>
        <w:tc>
          <w:tcPr>
            <w:tcW w:w="830" w:type="dxa"/>
            <w:tcBorders>
              <w:top w:val="nil"/>
              <w:left w:val="nil"/>
              <w:bottom w:val="single" w:sz="4" w:space="0" w:color="auto"/>
              <w:right w:val="single" w:sz="4" w:space="0" w:color="auto"/>
            </w:tcBorders>
            <w:shd w:val="clear" w:color="auto" w:fill="auto"/>
            <w:noWrap/>
            <w:vAlign w:val="center"/>
            <w:hideMark/>
          </w:tcPr>
          <w:p w14:paraId="54EDDF99" w14:textId="1A7C5DF8" w:rsidR="003F05F4" w:rsidRPr="007A4416" w:rsidRDefault="00565E46"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85</w:t>
            </w:r>
            <w:r w:rsidR="003F05F4" w:rsidRPr="007A4416">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4A7C9D2" w14:textId="302DBFBF" w:rsidR="003F05F4" w:rsidRPr="007A4416" w:rsidRDefault="003F05F4"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8</w:t>
            </w:r>
            <w:r w:rsidR="00565E46" w:rsidRPr="007A4416">
              <w:rPr>
                <w:rFonts w:asciiTheme="majorHAnsi" w:eastAsia="Times New Roman" w:hAnsiTheme="majorHAnsi"/>
                <w:color w:val="000000"/>
                <w:sz w:val="18"/>
                <w:szCs w:val="18"/>
              </w:rPr>
              <w:t>0</w:t>
            </w:r>
            <w:r w:rsidRPr="007A4416">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73F663F0" w14:textId="63110112" w:rsidR="003F05F4" w:rsidRPr="007A4416" w:rsidRDefault="003F05F4" w:rsidP="00E377A0">
            <w:pPr>
              <w:spacing w:after="0" w:line="240" w:lineRule="auto"/>
              <w:jc w:val="center"/>
              <w:rPr>
                <w:rFonts w:asciiTheme="majorHAnsi" w:eastAsia="Times New Roman" w:hAnsiTheme="majorHAnsi" w:cs="Arial"/>
                <w:color w:val="000000"/>
                <w:sz w:val="18"/>
                <w:szCs w:val="18"/>
              </w:rPr>
            </w:pPr>
            <w:r w:rsidRPr="007A4416">
              <w:rPr>
                <w:rFonts w:asciiTheme="majorHAnsi" w:eastAsia="Times New Roman" w:hAnsiTheme="majorHAnsi"/>
                <w:color w:val="000000"/>
                <w:sz w:val="18"/>
                <w:szCs w:val="18"/>
              </w:rPr>
              <w:t>90%</w:t>
            </w:r>
          </w:p>
        </w:tc>
      </w:tr>
      <w:tr w:rsidR="003F05F4" w:rsidRPr="00565E46" w14:paraId="6CC4F2AB" w14:textId="77777777" w:rsidTr="008D708D">
        <w:trPr>
          <w:trHeight w:val="630"/>
          <w:jc w:val="center"/>
        </w:trPr>
        <w:tc>
          <w:tcPr>
            <w:tcW w:w="6907" w:type="dxa"/>
            <w:tcBorders>
              <w:top w:val="nil"/>
              <w:left w:val="single" w:sz="8" w:space="0" w:color="auto"/>
              <w:bottom w:val="single" w:sz="4" w:space="0" w:color="auto"/>
              <w:right w:val="nil"/>
            </w:tcBorders>
            <w:shd w:val="clear" w:color="000000" w:fill="215967"/>
            <w:vAlign w:val="center"/>
            <w:hideMark/>
          </w:tcPr>
          <w:p w14:paraId="103A0E2A" w14:textId="77777777" w:rsidR="003F05F4" w:rsidRPr="007A4416" w:rsidRDefault="003F05F4" w:rsidP="00E377A0">
            <w:pPr>
              <w:spacing w:after="0" w:line="240" w:lineRule="auto"/>
              <w:rPr>
                <w:rFonts w:ascii="Cambria" w:eastAsia="Times New Roman" w:hAnsi="Cambria" w:cs="Arial"/>
                <w:b/>
                <w:bCs/>
                <w:color w:val="FFFFFF"/>
                <w:sz w:val="18"/>
                <w:szCs w:val="18"/>
              </w:rPr>
            </w:pPr>
            <w:r w:rsidRPr="007A4416">
              <w:rPr>
                <w:rFonts w:ascii="Cambria" w:eastAsia="Times New Roman" w:hAnsi="Cambria" w:cs="Arial"/>
                <w:b/>
                <w:bCs/>
                <w:color w:val="FFFFFF"/>
                <w:sz w:val="18"/>
                <w:szCs w:val="18"/>
              </w:rPr>
              <w:t>Permanency 1: Children have permanency and stability in their living situations</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1E3E29CA" w14:textId="548035D2" w:rsidR="003F05F4" w:rsidRPr="007A4416" w:rsidRDefault="003F05F4"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58%</w:t>
            </w:r>
          </w:p>
        </w:tc>
        <w:tc>
          <w:tcPr>
            <w:tcW w:w="830" w:type="dxa"/>
            <w:tcBorders>
              <w:top w:val="nil"/>
              <w:left w:val="nil"/>
              <w:bottom w:val="single" w:sz="4" w:space="0" w:color="auto"/>
              <w:right w:val="nil"/>
            </w:tcBorders>
            <w:shd w:val="clear" w:color="000000" w:fill="215967"/>
            <w:noWrap/>
            <w:vAlign w:val="center"/>
            <w:hideMark/>
          </w:tcPr>
          <w:p w14:paraId="51D5FDA1" w14:textId="6621D541" w:rsidR="003F05F4" w:rsidRPr="007A4416" w:rsidRDefault="00816542"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42</w:t>
            </w:r>
            <w:r w:rsidR="003F05F4" w:rsidRPr="007A4416">
              <w:rPr>
                <w:rFonts w:asciiTheme="majorHAnsi" w:eastAsia="Times New Roman" w:hAnsiTheme="majorHAnsi"/>
                <w:b/>
                <w:bCs/>
                <w:color w:val="FFFFFF"/>
                <w:sz w:val="18"/>
                <w:szCs w:val="18"/>
              </w:rPr>
              <w:t>%</w:t>
            </w:r>
          </w:p>
        </w:tc>
        <w:tc>
          <w:tcPr>
            <w:tcW w:w="820" w:type="dxa"/>
            <w:tcBorders>
              <w:top w:val="nil"/>
              <w:left w:val="single" w:sz="4" w:space="0" w:color="FFFFFF"/>
              <w:bottom w:val="single" w:sz="4" w:space="0" w:color="auto"/>
              <w:right w:val="single" w:sz="4" w:space="0" w:color="FFFFFF"/>
            </w:tcBorders>
            <w:shd w:val="clear" w:color="000000" w:fill="215967"/>
            <w:noWrap/>
            <w:vAlign w:val="center"/>
            <w:hideMark/>
          </w:tcPr>
          <w:p w14:paraId="196FDBC3" w14:textId="7267A281" w:rsidR="003F05F4" w:rsidRPr="007A4416" w:rsidRDefault="003F05F4"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58%</w:t>
            </w:r>
          </w:p>
        </w:tc>
        <w:tc>
          <w:tcPr>
            <w:tcW w:w="830" w:type="dxa"/>
            <w:tcBorders>
              <w:top w:val="nil"/>
              <w:left w:val="nil"/>
              <w:bottom w:val="single" w:sz="4" w:space="0" w:color="auto"/>
              <w:right w:val="nil"/>
            </w:tcBorders>
            <w:shd w:val="clear" w:color="000000" w:fill="215967"/>
            <w:noWrap/>
            <w:vAlign w:val="center"/>
            <w:hideMark/>
          </w:tcPr>
          <w:p w14:paraId="734E8C3F" w14:textId="3AFF1AC5" w:rsidR="003F05F4" w:rsidRPr="007A4416" w:rsidRDefault="00DD723A"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67</w:t>
            </w:r>
            <w:r w:rsidR="003F05F4" w:rsidRPr="007A4416">
              <w:rPr>
                <w:rFonts w:asciiTheme="majorHAnsi" w:eastAsia="Times New Roman" w:hAnsiTheme="majorHAnsi"/>
                <w:b/>
                <w:bCs/>
                <w:color w:val="FFFFFF"/>
                <w:sz w:val="18"/>
                <w:szCs w:val="18"/>
              </w:rPr>
              <w:t>%</w:t>
            </w:r>
          </w:p>
        </w:tc>
        <w:tc>
          <w:tcPr>
            <w:tcW w:w="877" w:type="dxa"/>
            <w:tcBorders>
              <w:top w:val="nil"/>
              <w:left w:val="single" w:sz="4" w:space="0" w:color="FFFFFF"/>
              <w:bottom w:val="single" w:sz="4" w:space="0" w:color="auto"/>
              <w:right w:val="nil"/>
            </w:tcBorders>
            <w:shd w:val="clear" w:color="000000" w:fill="215967"/>
            <w:noWrap/>
            <w:vAlign w:val="center"/>
            <w:hideMark/>
          </w:tcPr>
          <w:p w14:paraId="276746DF" w14:textId="67B2D094" w:rsidR="003F05F4" w:rsidRPr="007A4416" w:rsidRDefault="003F05F4"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4</w:t>
            </w:r>
            <w:r w:rsidR="00EF615E" w:rsidRPr="007A4416">
              <w:rPr>
                <w:rFonts w:asciiTheme="majorHAnsi" w:eastAsia="Times New Roman" w:hAnsiTheme="majorHAnsi"/>
                <w:b/>
                <w:bCs/>
                <w:color w:val="FFFFFF"/>
                <w:sz w:val="18"/>
                <w:szCs w:val="18"/>
              </w:rPr>
              <w:t>2</w:t>
            </w:r>
            <w:r w:rsidRPr="007A4416">
              <w:rPr>
                <w:rFonts w:asciiTheme="majorHAnsi" w:eastAsia="Times New Roman" w:hAnsiTheme="majorHAnsi"/>
                <w:b/>
                <w:bCs/>
                <w:color w:val="FFFFFF"/>
                <w:sz w:val="18"/>
                <w:szCs w:val="18"/>
              </w:rPr>
              <w:t>%</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4016A7C3" w14:textId="51F8B5E0" w:rsidR="003F05F4" w:rsidRPr="007A4416" w:rsidRDefault="003F05F4"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5</w:t>
            </w:r>
            <w:r w:rsidR="00EF615E" w:rsidRPr="007A4416">
              <w:rPr>
                <w:rFonts w:asciiTheme="majorHAnsi" w:eastAsia="Times New Roman" w:hAnsiTheme="majorHAnsi"/>
                <w:b/>
                <w:bCs/>
                <w:color w:val="FFFFFF"/>
                <w:sz w:val="18"/>
                <w:szCs w:val="18"/>
              </w:rPr>
              <w:t>0</w:t>
            </w:r>
            <w:r w:rsidRPr="007A4416">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402EBA02" w14:textId="4D6632BB" w:rsidR="003F05F4" w:rsidRPr="007A4416" w:rsidRDefault="00EF615E"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50</w:t>
            </w:r>
            <w:r w:rsidR="003F05F4" w:rsidRPr="007A4416">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5BA2B438" w14:textId="64B52066" w:rsidR="003F05F4" w:rsidRPr="007A4416" w:rsidRDefault="003F05F4"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5</w:t>
            </w:r>
            <w:r w:rsidR="00565E46" w:rsidRPr="007A4416">
              <w:rPr>
                <w:rFonts w:asciiTheme="majorHAnsi" w:eastAsia="Times New Roman" w:hAnsiTheme="majorHAnsi"/>
                <w:b/>
                <w:bCs/>
                <w:color w:val="FFFFFF"/>
                <w:sz w:val="18"/>
                <w:szCs w:val="18"/>
              </w:rPr>
              <w:t>8</w:t>
            </w:r>
            <w:r w:rsidRPr="007A4416">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nil"/>
            </w:tcBorders>
            <w:shd w:val="clear" w:color="000000" w:fill="215967"/>
            <w:noWrap/>
            <w:vAlign w:val="center"/>
            <w:hideMark/>
          </w:tcPr>
          <w:p w14:paraId="0BE8ABDA" w14:textId="13A8DB8C" w:rsidR="003F05F4" w:rsidRPr="007A4416" w:rsidRDefault="00565E46" w:rsidP="00E377A0">
            <w:pPr>
              <w:spacing w:after="0" w:line="240" w:lineRule="auto"/>
              <w:jc w:val="center"/>
              <w:rPr>
                <w:rFonts w:asciiTheme="majorHAnsi" w:eastAsia="Times New Roman" w:hAnsiTheme="majorHAnsi" w:cs="Arial"/>
                <w:b/>
                <w:bCs/>
                <w:color w:val="FFFFFF"/>
                <w:sz w:val="18"/>
                <w:szCs w:val="18"/>
              </w:rPr>
            </w:pPr>
            <w:r w:rsidRPr="007A4416">
              <w:rPr>
                <w:rFonts w:asciiTheme="majorHAnsi" w:eastAsia="Times New Roman" w:hAnsiTheme="majorHAnsi"/>
                <w:b/>
                <w:bCs/>
                <w:color w:val="FFFFFF"/>
                <w:sz w:val="18"/>
                <w:szCs w:val="18"/>
              </w:rPr>
              <w:t>33</w:t>
            </w:r>
            <w:r w:rsidR="003F05F4" w:rsidRPr="007A4416">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8" w:space="0" w:color="auto"/>
            </w:tcBorders>
            <w:shd w:val="clear" w:color="000000" w:fill="215967"/>
            <w:noWrap/>
            <w:vAlign w:val="center"/>
            <w:hideMark/>
          </w:tcPr>
          <w:p w14:paraId="7815860F" w14:textId="7D173F58" w:rsidR="003F05F4" w:rsidRPr="00581E2E" w:rsidRDefault="00A17755" w:rsidP="00E377A0">
            <w:pPr>
              <w:spacing w:after="0" w:line="240" w:lineRule="auto"/>
              <w:jc w:val="center"/>
              <w:rPr>
                <w:rFonts w:asciiTheme="majorHAnsi" w:eastAsia="Times New Roman" w:hAnsiTheme="majorHAnsi" w:cs="Arial"/>
                <w:b/>
                <w:bCs/>
                <w:color w:val="FFFFFF"/>
                <w:sz w:val="18"/>
                <w:szCs w:val="18"/>
              </w:rPr>
            </w:pPr>
            <w:r>
              <w:rPr>
                <w:rFonts w:asciiTheme="majorHAnsi" w:eastAsia="Times New Roman" w:hAnsiTheme="majorHAnsi"/>
                <w:b/>
                <w:bCs/>
                <w:color w:val="FFFFFF"/>
                <w:sz w:val="18"/>
                <w:szCs w:val="18"/>
              </w:rPr>
              <w:t>17</w:t>
            </w:r>
            <w:r w:rsidR="003F05F4" w:rsidRPr="00581E2E">
              <w:rPr>
                <w:rFonts w:asciiTheme="majorHAnsi" w:eastAsia="Times New Roman" w:hAnsiTheme="majorHAnsi"/>
                <w:b/>
                <w:bCs/>
                <w:color w:val="FFFFFF"/>
                <w:sz w:val="18"/>
                <w:szCs w:val="18"/>
              </w:rPr>
              <w:t>%</w:t>
            </w:r>
          </w:p>
        </w:tc>
      </w:tr>
      <w:tr w:rsidR="003F05F4" w:rsidRPr="00565E46" w14:paraId="5FE2A65F"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5A9E88AC"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4:  Stability of Foster Care Placement</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0EEE26BF" w14:textId="7FE60AB3"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1513551" w14:textId="37357F6C"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58</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03774CA8" w14:textId="459B8B9B"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p>
        </w:tc>
        <w:tc>
          <w:tcPr>
            <w:tcW w:w="830" w:type="dxa"/>
            <w:tcBorders>
              <w:top w:val="nil"/>
              <w:left w:val="nil"/>
              <w:bottom w:val="single" w:sz="4" w:space="0" w:color="auto"/>
              <w:right w:val="single" w:sz="4" w:space="0" w:color="auto"/>
            </w:tcBorders>
            <w:shd w:val="clear" w:color="auto" w:fill="auto"/>
            <w:noWrap/>
            <w:vAlign w:val="center"/>
            <w:hideMark/>
          </w:tcPr>
          <w:p w14:paraId="12C46F8C" w14:textId="1A661898"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14F80F46" w14:textId="59CA4833"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0B6EB9DD" w14:textId="79CD530E"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p>
        </w:tc>
        <w:tc>
          <w:tcPr>
            <w:tcW w:w="830" w:type="dxa"/>
            <w:tcBorders>
              <w:top w:val="nil"/>
              <w:left w:val="nil"/>
              <w:bottom w:val="single" w:sz="4" w:space="0" w:color="auto"/>
              <w:right w:val="single" w:sz="4" w:space="0" w:color="auto"/>
            </w:tcBorders>
            <w:shd w:val="clear" w:color="auto" w:fill="auto"/>
            <w:noWrap/>
            <w:vAlign w:val="center"/>
            <w:hideMark/>
          </w:tcPr>
          <w:p w14:paraId="31DD0710" w14:textId="4040A338"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67</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0764B800" w14:textId="0AC27B41"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DF37A8B" w14:textId="61FF3345"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67</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40B0F638" w14:textId="165EC2EC"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58</w:t>
            </w:r>
            <w:r w:rsidR="003F05F4" w:rsidRPr="00581E2E">
              <w:rPr>
                <w:rFonts w:asciiTheme="majorHAnsi" w:eastAsia="Times New Roman" w:hAnsiTheme="majorHAnsi"/>
                <w:color w:val="000000"/>
                <w:sz w:val="18"/>
                <w:szCs w:val="18"/>
              </w:rPr>
              <w:t>%</w:t>
            </w:r>
          </w:p>
        </w:tc>
      </w:tr>
      <w:tr w:rsidR="003F05F4" w:rsidRPr="00565E46" w14:paraId="46A089EA"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15157729"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5:  Permanency Goal for Child</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738921E7" w14:textId="64A86D4E"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p>
        </w:tc>
        <w:tc>
          <w:tcPr>
            <w:tcW w:w="830" w:type="dxa"/>
            <w:tcBorders>
              <w:top w:val="nil"/>
              <w:left w:val="nil"/>
              <w:bottom w:val="single" w:sz="4" w:space="0" w:color="auto"/>
              <w:right w:val="single" w:sz="4" w:space="0" w:color="auto"/>
            </w:tcBorders>
            <w:shd w:val="clear" w:color="auto" w:fill="auto"/>
            <w:noWrap/>
            <w:vAlign w:val="center"/>
            <w:hideMark/>
          </w:tcPr>
          <w:p w14:paraId="6EE69C18" w14:textId="4C689DF1"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1FFF2441" w14:textId="706E70A8"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p>
        </w:tc>
        <w:tc>
          <w:tcPr>
            <w:tcW w:w="830" w:type="dxa"/>
            <w:tcBorders>
              <w:top w:val="nil"/>
              <w:left w:val="nil"/>
              <w:bottom w:val="single" w:sz="4" w:space="0" w:color="auto"/>
              <w:right w:val="single" w:sz="4" w:space="0" w:color="auto"/>
            </w:tcBorders>
            <w:shd w:val="clear" w:color="auto" w:fill="auto"/>
            <w:noWrap/>
            <w:vAlign w:val="center"/>
            <w:hideMark/>
          </w:tcPr>
          <w:p w14:paraId="1A1E9BDF" w14:textId="648007F5"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234E6DB7" w14:textId="1EBE20F1"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58</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12D3C5B2" w14:textId="7F027658"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1540AB0" w14:textId="1C830209"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02AF7A6" w14:textId="68F1D4AE"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B6B82DB" w14:textId="20790702"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2687E673" w14:textId="5E0E8B80"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42</w:t>
            </w:r>
            <w:r w:rsidR="003F05F4" w:rsidRPr="00581E2E">
              <w:rPr>
                <w:rFonts w:asciiTheme="majorHAnsi" w:eastAsia="Times New Roman" w:hAnsiTheme="majorHAnsi"/>
                <w:color w:val="000000"/>
                <w:sz w:val="18"/>
                <w:szCs w:val="18"/>
              </w:rPr>
              <w:t>%</w:t>
            </w:r>
          </w:p>
        </w:tc>
      </w:tr>
      <w:tr w:rsidR="003F05F4" w:rsidRPr="00565E46" w14:paraId="2A3D8F66"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17D7C26F" w14:textId="48706923"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6:  Achieving </w:t>
            </w:r>
            <w:proofErr w:type="spellStart"/>
            <w:r w:rsidRPr="00581E2E">
              <w:rPr>
                <w:rFonts w:ascii="Cambria" w:eastAsia="Times New Roman" w:hAnsi="Cambria" w:cs="Arial"/>
                <w:color w:val="000000"/>
                <w:sz w:val="18"/>
                <w:szCs w:val="18"/>
              </w:rPr>
              <w:t>Reunif</w:t>
            </w:r>
            <w:proofErr w:type="spellEnd"/>
            <w:r w:rsidRPr="00581E2E">
              <w:rPr>
                <w:rFonts w:ascii="Cambria" w:eastAsia="Times New Roman" w:hAnsi="Cambria" w:cs="Arial"/>
                <w:color w:val="000000"/>
                <w:sz w:val="18"/>
                <w:szCs w:val="18"/>
              </w:rPr>
              <w:t>., Guard., Adoption or APPLA</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4B4AC96E" w14:textId="6F0A9B0B"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0F1E6824" w14:textId="546857DC"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p>
        </w:tc>
        <w:tc>
          <w:tcPr>
            <w:tcW w:w="820" w:type="dxa"/>
            <w:tcBorders>
              <w:top w:val="nil"/>
              <w:left w:val="nil"/>
              <w:bottom w:val="single" w:sz="4" w:space="0" w:color="auto"/>
              <w:right w:val="single" w:sz="4" w:space="0" w:color="auto"/>
            </w:tcBorders>
            <w:shd w:val="clear" w:color="auto" w:fill="auto"/>
            <w:noWrap/>
            <w:vAlign w:val="center"/>
            <w:hideMark/>
          </w:tcPr>
          <w:p w14:paraId="1C8DE521" w14:textId="04EAE445"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0A9BD15F" w14:textId="4243D480"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16BBEDB3" w14:textId="3F3C1D7F"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429AAABE" w14:textId="004479AA"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2951623" w14:textId="5DFC3125"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C7F11C2" w14:textId="5D56146D"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67%</w:t>
            </w:r>
          </w:p>
        </w:tc>
        <w:tc>
          <w:tcPr>
            <w:tcW w:w="830" w:type="dxa"/>
            <w:tcBorders>
              <w:top w:val="nil"/>
              <w:left w:val="nil"/>
              <w:bottom w:val="single" w:sz="4" w:space="0" w:color="auto"/>
              <w:right w:val="single" w:sz="4" w:space="0" w:color="auto"/>
            </w:tcBorders>
            <w:shd w:val="clear" w:color="auto" w:fill="auto"/>
            <w:noWrap/>
            <w:vAlign w:val="center"/>
            <w:hideMark/>
          </w:tcPr>
          <w:p w14:paraId="61D91F88" w14:textId="2EF62FBC"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619B9F5D" w14:textId="3592189D"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42</w:t>
            </w:r>
            <w:r w:rsidR="003F05F4" w:rsidRPr="00581E2E">
              <w:rPr>
                <w:rFonts w:asciiTheme="majorHAnsi" w:eastAsia="Times New Roman" w:hAnsiTheme="majorHAnsi"/>
                <w:color w:val="000000"/>
                <w:sz w:val="18"/>
                <w:szCs w:val="18"/>
              </w:rPr>
              <w:t>%</w:t>
            </w:r>
          </w:p>
        </w:tc>
      </w:tr>
      <w:tr w:rsidR="003F05F4" w:rsidRPr="00565E46" w14:paraId="061D662B" w14:textId="77777777" w:rsidTr="008D708D">
        <w:trPr>
          <w:trHeight w:val="630"/>
          <w:jc w:val="center"/>
        </w:trPr>
        <w:tc>
          <w:tcPr>
            <w:tcW w:w="6907" w:type="dxa"/>
            <w:tcBorders>
              <w:top w:val="nil"/>
              <w:left w:val="single" w:sz="8" w:space="0" w:color="auto"/>
              <w:bottom w:val="single" w:sz="4" w:space="0" w:color="auto"/>
              <w:right w:val="nil"/>
            </w:tcBorders>
            <w:shd w:val="clear" w:color="000000" w:fill="215967"/>
            <w:vAlign w:val="center"/>
            <w:hideMark/>
          </w:tcPr>
          <w:p w14:paraId="16B30304" w14:textId="77777777" w:rsidR="003F05F4" w:rsidRPr="00581E2E" w:rsidRDefault="003F05F4" w:rsidP="00E377A0">
            <w:pPr>
              <w:spacing w:after="0" w:line="240" w:lineRule="auto"/>
              <w:rPr>
                <w:rFonts w:ascii="Cambria" w:eastAsia="Times New Roman" w:hAnsi="Cambria" w:cs="Arial"/>
                <w:b/>
                <w:bCs/>
                <w:color w:val="FFFFFF"/>
                <w:sz w:val="18"/>
                <w:szCs w:val="18"/>
              </w:rPr>
            </w:pPr>
            <w:r w:rsidRPr="00581E2E">
              <w:rPr>
                <w:rFonts w:ascii="Cambria" w:eastAsia="Times New Roman" w:hAnsi="Cambria" w:cs="Arial"/>
                <w:b/>
                <w:bCs/>
                <w:color w:val="FFFFFF"/>
                <w:sz w:val="18"/>
                <w:szCs w:val="18"/>
              </w:rPr>
              <w:t>Permanency 2: The continuity of family relationships and connections is preserved for children</w:t>
            </w:r>
          </w:p>
        </w:tc>
        <w:tc>
          <w:tcPr>
            <w:tcW w:w="877" w:type="dxa"/>
            <w:tcBorders>
              <w:top w:val="nil"/>
              <w:left w:val="single" w:sz="4" w:space="0" w:color="FFFFFF"/>
              <w:bottom w:val="single" w:sz="4" w:space="0" w:color="auto"/>
              <w:right w:val="nil"/>
            </w:tcBorders>
            <w:shd w:val="clear" w:color="000000" w:fill="215967"/>
            <w:noWrap/>
            <w:vAlign w:val="center"/>
            <w:hideMark/>
          </w:tcPr>
          <w:p w14:paraId="6C876473" w14:textId="40C7064B" w:rsidR="003F05F4" w:rsidRPr="00581E2E" w:rsidRDefault="00816542"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67</w:t>
            </w:r>
            <w:r w:rsidR="003F05F4" w:rsidRPr="00581E2E">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4" w:space="0" w:color="FFFFFF"/>
            </w:tcBorders>
            <w:shd w:val="clear" w:color="000000" w:fill="215967"/>
            <w:noWrap/>
            <w:vAlign w:val="center"/>
            <w:hideMark/>
          </w:tcPr>
          <w:p w14:paraId="2125923B" w14:textId="2E493B1F" w:rsidR="003F05F4" w:rsidRPr="00581E2E" w:rsidRDefault="00816542"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92</w:t>
            </w:r>
            <w:r w:rsidR="003F05F4" w:rsidRPr="00581E2E">
              <w:rPr>
                <w:rFonts w:asciiTheme="majorHAnsi" w:eastAsia="Times New Roman" w:hAnsiTheme="majorHAnsi"/>
                <w:b/>
                <w:bCs/>
                <w:color w:val="FFFFFF"/>
                <w:sz w:val="18"/>
                <w:szCs w:val="18"/>
              </w:rPr>
              <w:t>%</w:t>
            </w:r>
          </w:p>
        </w:tc>
        <w:tc>
          <w:tcPr>
            <w:tcW w:w="820" w:type="dxa"/>
            <w:tcBorders>
              <w:top w:val="nil"/>
              <w:left w:val="nil"/>
              <w:bottom w:val="single" w:sz="4" w:space="0" w:color="auto"/>
              <w:right w:val="single" w:sz="4" w:space="0" w:color="FFFFFF"/>
            </w:tcBorders>
            <w:shd w:val="clear" w:color="000000" w:fill="215967"/>
            <w:noWrap/>
            <w:vAlign w:val="center"/>
            <w:hideMark/>
          </w:tcPr>
          <w:p w14:paraId="39679E0D" w14:textId="4A6DDFDD" w:rsidR="003F05F4" w:rsidRPr="00581E2E" w:rsidRDefault="00DD723A"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83</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5727308A" w14:textId="743205B0" w:rsidR="003F05F4" w:rsidRPr="00581E2E" w:rsidRDefault="00DD723A"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83</w:t>
            </w:r>
            <w:r w:rsidR="003F05F4" w:rsidRPr="00581E2E">
              <w:rPr>
                <w:rFonts w:asciiTheme="majorHAnsi" w:eastAsia="Times New Roman" w:hAnsiTheme="majorHAnsi"/>
                <w:b/>
                <w:bCs/>
                <w:color w:val="FFFFFF"/>
                <w:sz w:val="18"/>
                <w:szCs w:val="18"/>
              </w:rPr>
              <w:t>%</w:t>
            </w:r>
          </w:p>
        </w:tc>
        <w:tc>
          <w:tcPr>
            <w:tcW w:w="877" w:type="dxa"/>
            <w:tcBorders>
              <w:top w:val="nil"/>
              <w:left w:val="nil"/>
              <w:bottom w:val="single" w:sz="4" w:space="0" w:color="auto"/>
              <w:right w:val="single" w:sz="4" w:space="0" w:color="FFFFFF"/>
            </w:tcBorders>
            <w:shd w:val="clear" w:color="000000" w:fill="215967"/>
            <w:noWrap/>
            <w:vAlign w:val="center"/>
            <w:hideMark/>
          </w:tcPr>
          <w:p w14:paraId="157DF37B" w14:textId="3E111A10" w:rsidR="003F05F4" w:rsidRPr="00581E2E" w:rsidRDefault="00EF615E"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92</w:t>
            </w:r>
            <w:r w:rsidR="003F05F4" w:rsidRPr="00581E2E">
              <w:rPr>
                <w:rFonts w:asciiTheme="majorHAnsi" w:eastAsia="Times New Roman" w:hAnsiTheme="majorHAnsi"/>
                <w:b/>
                <w:bCs/>
                <w:color w:val="FFFFFF"/>
                <w:sz w:val="18"/>
                <w:szCs w:val="18"/>
              </w:rPr>
              <w:t>%</w:t>
            </w:r>
          </w:p>
        </w:tc>
        <w:tc>
          <w:tcPr>
            <w:tcW w:w="877" w:type="dxa"/>
            <w:tcBorders>
              <w:top w:val="nil"/>
              <w:left w:val="nil"/>
              <w:bottom w:val="single" w:sz="4" w:space="0" w:color="auto"/>
              <w:right w:val="nil"/>
            </w:tcBorders>
            <w:shd w:val="clear" w:color="000000" w:fill="215967"/>
            <w:noWrap/>
            <w:vAlign w:val="center"/>
            <w:hideMark/>
          </w:tcPr>
          <w:p w14:paraId="1BF264E4" w14:textId="3121ABA9" w:rsidR="003F05F4" w:rsidRPr="00581E2E" w:rsidRDefault="00EF615E"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92</w:t>
            </w:r>
            <w:r w:rsidR="003F05F4" w:rsidRPr="00581E2E">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4" w:space="0" w:color="FFFFFF"/>
            </w:tcBorders>
            <w:shd w:val="clear" w:color="000000" w:fill="215967"/>
            <w:noWrap/>
            <w:vAlign w:val="center"/>
            <w:hideMark/>
          </w:tcPr>
          <w:p w14:paraId="3D1542F0" w14:textId="71D1875F"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83%</w:t>
            </w:r>
          </w:p>
        </w:tc>
        <w:tc>
          <w:tcPr>
            <w:tcW w:w="830" w:type="dxa"/>
            <w:tcBorders>
              <w:top w:val="nil"/>
              <w:left w:val="nil"/>
              <w:bottom w:val="single" w:sz="4" w:space="0" w:color="auto"/>
              <w:right w:val="single" w:sz="4" w:space="0" w:color="FFFFFF"/>
            </w:tcBorders>
            <w:shd w:val="clear" w:color="000000" w:fill="215967"/>
            <w:noWrap/>
            <w:vAlign w:val="center"/>
            <w:hideMark/>
          </w:tcPr>
          <w:p w14:paraId="73B5CF4B" w14:textId="73C32FAF"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67</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20DE75D8" w14:textId="22093CBE"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67</w:t>
            </w:r>
            <w:r w:rsidR="003F05F4" w:rsidRPr="00581E2E">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8" w:space="0" w:color="auto"/>
            </w:tcBorders>
            <w:shd w:val="clear" w:color="000000" w:fill="215967"/>
            <w:noWrap/>
            <w:vAlign w:val="center"/>
            <w:hideMark/>
          </w:tcPr>
          <w:p w14:paraId="115BB437" w14:textId="576C1BB7" w:rsidR="003F05F4" w:rsidRPr="00581E2E" w:rsidRDefault="00A17755" w:rsidP="00E377A0">
            <w:pPr>
              <w:spacing w:after="0" w:line="240" w:lineRule="auto"/>
              <w:jc w:val="center"/>
              <w:rPr>
                <w:rFonts w:asciiTheme="majorHAnsi" w:eastAsia="Times New Roman" w:hAnsiTheme="majorHAnsi" w:cs="Arial"/>
                <w:b/>
                <w:bCs/>
                <w:color w:val="FFFFFF"/>
                <w:sz w:val="18"/>
                <w:szCs w:val="18"/>
              </w:rPr>
            </w:pPr>
            <w:r>
              <w:rPr>
                <w:rFonts w:asciiTheme="majorHAnsi" w:eastAsia="Times New Roman" w:hAnsiTheme="majorHAnsi"/>
                <w:b/>
                <w:bCs/>
                <w:color w:val="FFFFFF"/>
                <w:sz w:val="18"/>
                <w:szCs w:val="18"/>
              </w:rPr>
              <w:t>75</w:t>
            </w:r>
            <w:r w:rsidR="003F05F4" w:rsidRPr="00581E2E">
              <w:rPr>
                <w:rFonts w:asciiTheme="majorHAnsi" w:eastAsia="Times New Roman" w:hAnsiTheme="majorHAnsi"/>
                <w:b/>
                <w:bCs/>
                <w:color w:val="FFFFFF"/>
                <w:sz w:val="18"/>
                <w:szCs w:val="18"/>
              </w:rPr>
              <w:t>%</w:t>
            </w:r>
          </w:p>
        </w:tc>
      </w:tr>
      <w:tr w:rsidR="003F05F4" w:rsidRPr="00565E46" w14:paraId="2E0A7DED"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30E53E56"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7: Placement with Siblings</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6595445A" w14:textId="69701B63"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A6C2C1B" w14:textId="0CD791FD"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12E4C182" w14:textId="45085566"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71</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CE04674" w14:textId="6BC116A0"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63</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72FBD31D" w14:textId="698DD988"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41DEECDB" w14:textId="01DF1558"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0316800" w14:textId="664289C3"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26F84B2" w14:textId="21ABF1E9"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33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B425916" w14:textId="5C6C299F"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2B607237" w14:textId="3C859885"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r>
      <w:tr w:rsidR="003F05F4" w:rsidRPr="00565E46" w14:paraId="3F81181E"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638DADAF"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8: Visiting with Parents and Siblings in Foster Care</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4D4D0271" w14:textId="6C390566"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E638A29" w14:textId="62910726"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6BB809F4" w14:textId="70CC28A0"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0E62C54A" w14:textId="633F6A93"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7E374DB8" w14:textId="12E86B56"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3F05F4" w:rsidRPr="00581E2E">
              <w:rPr>
                <w:rFonts w:asciiTheme="majorHAnsi" w:eastAsia="Times New Roman" w:hAnsiTheme="majorHAnsi"/>
                <w:color w:val="000000"/>
                <w:sz w:val="18"/>
                <w:szCs w:val="18"/>
              </w:rPr>
              <w:t>0%</w:t>
            </w:r>
          </w:p>
        </w:tc>
        <w:tc>
          <w:tcPr>
            <w:tcW w:w="877" w:type="dxa"/>
            <w:tcBorders>
              <w:top w:val="nil"/>
              <w:left w:val="nil"/>
              <w:bottom w:val="single" w:sz="4" w:space="0" w:color="auto"/>
              <w:right w:val="single" w:sz="4" w:space="0" w:color="auto"/>
            </w:tcBorders>
            <w:shd w:val="clear" w:color="auto" w:fill="auto"/>
            <w:noWrap/>
            <w:vAlign w:val="center"/>
            <w:hideMark/>
          </w:tcPr>
          <w:p w14:paraId="2AAD81A2" w14:textId="796A853A"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88</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D52EC02" w14:textId="0685EAC0"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134DF7E" w14:textId="5A8B71C9"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565E46" w:rsidRPr="00581E2E">
              <w:rPr>
                <w:rFonts w:asciiTheme="majorHAnsi" w:eastAsia="Times New Roman" w:hAnsiTheme="majorHAnsi"/>
                <w:color w:val="000000"/>
                <w:sz w:val="18"/>
                <w:szCs w:val="18"/>
              </w:rPr>
              <w:t>2</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46ECBA6" w14:textId="3299020A"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59878834" w14:textId="32F00131"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78</w:t>
            </w:r>
            <w:r w:rsidR="003F05F4" w:rsidRPr="00581E2E">
              <w:rPr>
                <w:rFonts w:asciiTheme="majorHAnsi" w:eastAsia="Times New Roman" w:hAnsiTheme="majorHAnsi"/>
                <w:color w:val="000000"/>
                <w:sz w:val="18"/>
                <w:szCs w:val="18"/>
              </w:rPr>
              <w:t>%</w:t>
            </w:r>
          </w:p>
        </w:tc>
      </w:tr>
      <w:tr w:rsidR="003F05F4" w:rsidRPr="00565E46" w14:paraId="2B4EB113"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56871FF2"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9: Preserving Connections</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18E17A15" w14:textId="3C6A7A2F"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67</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D153213" w14:textId="5BDE3E8E"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58</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512ED074" w14:textId="7812B37C"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67</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0BFFCBE9" w14:textId="007C9D74"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6F3E4DFB" w14:textId="47B112ED"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44429A0F" w14:textId="6F2FF93E"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A1CFF4D" w14:textId="1620BB77"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83%</w:t>
            </w:r>
          </w:p>
        </w:tc>
        <w:tc>
          <w:tcPr>
            <w:tcW w:w="830" w:type="dxa"/>
            <w:tcBorders>
              <w:top w:val="nil"/>
              <w:left w:val="nil"/>
              <w:bottom w:val="single" w:sz="4" w:space="0" w:color="auto"/>
              <w:right w:val="single" w:sz="4" w:space="0" w:color="auto"/>
            </w:tcBorders>
            <w:shd w:val="clear" w:color="auto" w:fill="auto"/>
            <w:noWrap/>
            <w:vAlign w:val="center"/>
            <w:hideMark/>
          </w:tcPr>
          <w:p w14:paraId="557AFC3F" w14:textId="1E79C174"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A2BDD78" w14:textId="3FFF316B"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w:t>
            </w:r>
            <w:r w:rsidR="00565E46" w:rsidRPr="00581E2E">
              <w:rPr>
                <w:rFonts w:asciiTheme="majorHAnsi" w:eastAsia="Times New Roman" w:hAnsiTheme="majorHAnsi"/>
                <w:color w:val="000000"/>
                <w:sz w:val="18"/>
                <w:szCs w:val="18"/>
              </w:rPr>
              <w:t>4</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2FDC239B" w14:textId="3C17AB24"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A17755">
              <w:rPr>
                <w:rFonts w:asciiTheme="majorHAnsi" w:eastAsia="Times New Roman" w:hAnsiTheme="majorHAnsi"/>
                <w:color w:val="000000"/>
                <w:sz w:val="18"/>
                <w:szCs w:val="18"/>
              </w:rPr>
              <w:t>3</w:t>
            </w:r>
            <w:r w:rsidRPr="00581E2E">
              <w:rPr>
                <w:rFonts w:asciiTheme="majorHAnsi" w:eastAsia="Times New Roman" w:hAnsiTheme="majorHAnsi"/>
                <w:color w:val="000000"/>
                <w:sz w:val="18"/>
                <w:szCs w:val="18"/>
              </w:rPr>
              <w:t>%</w:t>
            </w:r>
          </w:p>
        </w:tc>
      </w:tr>
      <w:tr w:rsidR="003F05F4" w:rsidRPr="00565E46" w14:paraId="19953A21"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04EBEF7C"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10: Relative Placement</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6A4F29C2" w14:textId="730D52AD"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A01DCC7" w14:textId="6129A571"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347FAE50" w14:textId="15BCBDCA"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14EFBD2" w14:textId="04C9AAC7"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6E1F6913" w14:textId="47A95734"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460EEA2C" w14:textId="46834799"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53A85F5" w14:textId="355E8D07"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w:t>
            </w:r>
            <w:r w:rsidR="00565E46" w:rsidRPr="00581E2E">
              <w:rPr>
                <w:rFonts w:asciiTheme="majorHAnsi" w:eastAsia="Times New Roman" w:hAnsiTheme="majorHAnsi"/>
                <w:color w:val="000000"/>
                <w:sz w:val="18"/>
                <w:szCs w:val="18"/>
              </w:rPr>
              <w:t>2</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131D806" w14:textId="07551439"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0395E16" w14:textId="65F5778A"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565E46" w:rsidRPr="00581E2E">
              <w:rPr>
                <w:rFonts w:asciiTheme="majorHAnsi" w:eastAsia="Times New Roman" w:hAnsiTheme="majorHAnsi"/>
                <w:color w:val="000000"/>
                <w:sz w:val="18"/>
                <w:szCs w:val="18"/>
              </w:rPr>
              <w:t>2</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53DB27DD" w14:textId="14F7E91D"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r>
      <w:tr w:rsidR="003F05F4" w:rsidRPr="00565E46" w14:paraId="496F902C"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0CE3CC99"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11: Relationship of Child in Care with Parents</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1A2CBD6F" w14:textId="05B6BA4E"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44</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16C197A" w14:textId="4E1601BA"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67</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6B1A221A" w14:textId="3D4D09AC"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44</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49B35E8" w14:textId="4F78E1CD"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316FE5DD" w14:textId="6B7B58E6"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73</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2CD22E4C" w14:textId="760E712D"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25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646D960" w14:textId="2318D4D8"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70E0175" w14:textId="0AAA21F0"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43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F5AA738" w14:textId="3BE4A1E5"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63</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43CDCE49" w14:textId="4D23A063"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67</w:t>
            </w:r>
            <w:r w:rsidR="003F05F4" w:rsidRPr="00581E2E">
              <w:rPr>
                <w:rFonts w:asciiTheme="majorHAnsi" w:eastAsia="Times New Roman" w:hAnsiTheme="majorHAnsi"/>
                <w:color w:val="000000"/>
                <w:sz w:val="18"/>
                <w:szCs w:val="18"/>
              </w:rPr>
              <w:t>%</w:t>
            </w:r>
          </w:p>
        </w:tc>
      </w:tr>
      <w:tr w:rsidR="003F05F4" w:rsidRPr="00565E46" w14:paraId="26A3F4A3" w14:textId="77777777" w:rsidTr="008D708D">
        <w:trPr>
          <w:trHeight w:val="630"/>
          <w:jc w:val="center"/>
        </w:trPr>
        <w:tc>
          <w:tcPr>
            <w:tcW w:w="6907" w:type="dxa"/>
            <w:tcBorders>
              <w:top w:val="nil"/>
              <w:left w:val="single" w:sz="8" w:space="0" w:color="auto"/>
              <w:bottom w:val="single" w:sz="4" w:space="0" w:color="auto"/>
              <w:right w:val="single" w:sz="4" w:space="0" w:color="FFFFFF"/>
            </w:tcBorders>
            <w:shd w:val="clear" w:color="000000" w:fill="215967"/>
            <w:vAlign w:val="center"/>
            <w:hideMark/>
          </w:tcPr>
          <w:p w14:paraId="57FAD707" w14:textId="77777777" w:rsidR="003F05F4" w:rsidRPr="00581E2E" w:rsidRDefault="003F05F4" w:rsidP="00E377A0">
            <w:pPr>
              <w:spacing w:after="0" w:line="240" w:lineRule="auto"/>
              <w:rPr>
                <w:rFonts w:ascii="Cambria" w:eastAsia="Times New Roman" w:hAnsi="Cambria" w:cs="Arial"/>
                <w:b/>
                <w:bCs/>
                <w:color w:val="FFFFFF"/>
                <w:sz w:val="18"/>
                <w:szCs w:val="18"/>
              </w:rPr>
            </w:pPr>
            <w:r w:rsidRPr="00581E2E">
              <w:rPr>
                <w:rFonts w:ascii="Cambria" w:eastAsia="Times New Roman" w:hAnsi="Cambria" w:cs="Arial"/>
                <w:b/>
                <w:bCs/>
                <w:color w:val="FFFFFF"/>
                <w:sz w:val="18"/>
                <w:szCs w:val="18"/>
              </w:rPr>
              <w:t>Well-Being 1: Families have enhanced capacity to provide for their children’s needs</w:t>
            </w:r>
          </w:p>
        </w:tc>
        <w:tc>
          <w:tcPr>
            <w:tcW w:w="877" w:type="dxa"/>
            <w:tcBorders>
              <w:top w:val="nil"/>
              <w:left w:val="nil"/>
              <w:bottom w:val="single" w:sz="4" w:space="0" w:color="auto"/>
              <w:right w:val="nil"/>
            </w:tcBorders>
            <w:shd w:val="clear" w:color="000000" w:fill="215967"/>
            <w:noWrap/>
            <w:vAlign w:val="center"/>
            <w:hideMark/>
          </w:tcPr>
          <w:p w14:paraId="4D1808B9" w14:textId="6ACCD9C4" w:rsidR="003F05F4" w:rsidRPr="00581E2E" w:rsidRDefault="00816542"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5</w:t>
            </w:r>
            <w:r w:rsidR="003F05F4" w:rsidRPr="00581E2E">
              <w:rPr>
                <w:rFonts w:asciiTheme="majorHAnsi" w:eastAsia="Times New Roman" w:hAnsiTheme="majorHAnsi"/>
                <w:b/>
                <w:bCs/>
                <w:color w:val="FFFFFF"/>
                <w:sz w:val="18"/>
                <w:szCs w:val="18"/>
              </w:rPr>
              <w:t>0%</w:t>
            </w:r>
          </w:p>
        </w:tc>
        <w:tc>
          <w:tcPr>
            <w:tcW w:w="830" w:type="dxa"/>
            <w:tcBorders>
              <w:top w:val="nil"/>
              <w:left w:val="single" w:sz="4" w:space="0" w:color="FFFFFF"/>
              <w:bottom w:val="single" w:sz="4" w:space="0" w:color="auto"/>
              <w:right w:val="nil"/>
            </w:tcBorders>
            <w:shd w:val="clear" w:color="000000" w:fill="215967"/>
            <w:noWrap/>
            <w:vAlign w:val="center"/>
            <w:hideMark/>
          </w:tcPr>
          <w:p w14:paraId="2E13919A" w14:textId="4FCB324F"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7</w:t>
            </w:r>
            <w:r w:rsidR="00816542" w:rsidRPr="00581E2E">
              <w:rPr>
                <w:rFonts w:asciiTheme="majorHAnsi" w:eastAsia="Times New Roman" w:hAnsiTheme="majorHAnsi"/>
                <w:b/>
                <w:bCs/>
                <w:color w:val="FFFFFF"/>
                <w:sz w:val="18"/>
                <w:szCs w:val="18"/>
              </w:rPr>
              <w:t>5</w:t>
            </w:r>
            <w:r w:rsidRPr="00581E2E">
              <w:rPr>
                <w:rFonts w:asciiTheme="majorHAnsi" w:eastAsia="Times New Roman" w:hAnsiTheme="majorHAnsi"/>
                <w:b/>
                <w:bCs/>
                <w:color w:val="FFFFFF"/>
                <w:sz w:val="18"/>
                <w:szCs w:val="18"/>
              </w:rPr>
              <w:t>%</w:t>
            </w:r>
          </w:p>
        </w:tc>
        <w:tc>
          <w:tcPr>
            <w:tcW w:w="820" w:type="dxa"/>
            <w:tcBorders>
              <w:top w:val="nil"/>
              <w:left w:val="single" w:sz="4" w:space="0" w:color="FFFFFF"/>
              <w:bottom w:val="single" w:sz="4" w:space="0" w:color="auto"/>
              <w:right w:val="single" w:sz="4" w:space="0" w:color="FFFFFF"/>
            </w:tcBorders>
            <w:shd w:val="clear" w:color="000000" w:fill="215967"/>
            <w:noWrap/>
            <w:vAlign w:val="center"/>
            <w:hideMark/>
          </w:tcPr>
          <w:p w14:paraId="3FC5861B" w14:textId="4155CF26" w:rsidR="003F05F4" w:rsidRPr="00581E2E" w:rsidRDefault="00DD723A"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70</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17B68663" w14:textId="13F8C577" w:rsidR="003F05F4" w:rsidRPr="00581E2E" w:rsidRDefault="00DD723A"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w:t>
            </w:r>
            <w:r w:rsidR="003F05F4" w:rsidRPr="00581E2E">
              <w:rPr>
                <w:rFonts w:asciiTheme="majorHAnsi" w:eastAsia="Times New Roman" w:hAnsiTheme="majorHAnsi"/>
                <w:b/>
                <w:bCs/>
                <w:color w:val="FFFFFF"/>
                <w:sz w:val="18"/>
                <w:szCs w:val="18"/>
              </w:rPr>
              <w:t>5%</w:t>
            </w:r>
          </w:p>
        </w:tc>
        <w:tc>
          <w:tcPr>
            <w:tcW w:w="877" w:type="dxa"/>
            <w:tcBorders>
              <w:top w:val="nil"/>
              <w:left w:val="nil"/>
              <w:bottom w:val="single" w:sz="4" w:space="0" w:color="auto"/>
              <w:right w:val="single" w:sz="4" w:space="0" w:color="FFFFFF"/>
            </w:tcBorders>
            <w:shd w:val="clear" w:color="000000" w:fill="215967"/>
            <w:noWrap/>
            <w:vAlign w:val="center"/>
            <w:hideMark/>
          </w:tcPr>
          <w:p w14:paraId="504E4FDE" w14:textId="3BED301C"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55%</w:t>
            </w:r>
          </w:p>
        </w:tc>
        <w:tc>
          <w:tcPr>
            <w:tcW w:w="877" w:type="dxa"/>
            <w:tcBorders>
              <w:top w:val="nil"/>
              <w:left w:val="nil"/>
              <w:bottom w:val="single" w:sz="4" w:space="0" w:color="auto"/>
              <w:right w:val="single" w:sz="4" w:space="0" w:color="FFFFFF"/>
            </w:tcBorders>
            <w:shd w:val="clear" w:color="000000" w:fill="215967"/>
            <w:noWrap/>
            <w:vAlign w:val="center"/>
            <w:hideMark/>
          </w:tcPr>
          <w:p w14:paraId="675AD18F" w14:textId="49BC25D8" w:rsidR="003F05F4" w:rsidRPr="00581E2E" w:rsidRDefault="00EF615E"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60</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222659F4" w14:textId="5204B179"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50</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3455BAE9" w14:textId="19195F47"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60</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57F04B3E" w14:textId="7D68E4FB"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7</w:t>
            </w:r>
            <w:r w:rsidR="003F05F4" w:rsidRPr="00581E2E">
              <w:rPr>
                <w:rFonts w:asciiTheme="majorHAnsi" w:eastAsia="Times New Roman" w:hAnsiTheme="majorHAnsi"/>
                <w:b/>
                <w:bCs/>
                <w:color w:val="FFFFFF"/>
                <w:sz w:val="18"/>
                <w:szCs w:val="18"/>
              </w:rPr>
              <w:t>0%</w:t>
            </w:r>
          </w:p>
        </w:tc>
        <w:tc>
          <w:tcPr>
            <w:tcW w:w="830" w:type="dxa"/>
            <w:tcBorders>
              <w:top w:val="nil"/>
              <w:left w:val="single" w:sz="4" w:space="0" w:color="FFFFFF"/>
              <w:bottom w:val="single" w:sz="4" w:space="0" w:color="auto"/>
              <w:right w:val="single" w:sz="8" w:space="0" w:color="auto"/>
            </w:tcBorders>
            <w:shd w:val="clear" w:color="000000" w:fill="215967"/>
            <w:noWrap/>
            <w:vAlign w:val="center"/>
            <w:hideMark/>
          </w:tcPr>
          <w:p w14:paraId="3883781E" w14:textId="3C25683F" w:rsidR="003F05F4" w:rsidRPr="00581E2E" w:rsidRDefault="00A17755" w:rsidP="00E377A0">
            <w:pPr>
              <w:spacing w:after="0" w:line="240" w:lineRule="auto"/>
              <w:jc w:val="center"/>
              <w:rPr>
                <w:rFonts w:asciiTheme="majorHAnsi" w:eastAsia="Times New Roman" w:hAnsiTheme="majorHAnsi" w:cs="Arial"/>
                <w:b/>
                <w:bCs/>
                <w:color w:val="FFFFFF"/>
                <w:sz w:val="18"/>
                <w:szCs w:val="18"/>
              </w:rPr>
            </w:pPr>
            <w:r>
              <w:rPr>
                <w:rFonts w:asciiTheme="majorHAnsi" w:eastAsia="Times New Roman" w:hAnsiTheme="majorHAnsi"/>
                <w:b/>
                <w:bCs/>
                <w:color w:val="FFFFFF"/>
                <w:sz w:val="18"/>
                <w:szCs w:val="18"/>
              </w:rPr>
              <w:t>45</w:t>
            </w:r>
            <w:r w:rsidR="003F05F4" w:rsidRPr="00581E2E">
              <w:rPr>
                <w:rFonts w:asciiTheme="majorHAnsi" w:eastAsia="Times New Roman" w:hAnsiTheme="majorHAnsi"/>
                <w:b/>
                <w:bCs/>
                <w:color w:val="FFFFFF"/>
                <w:sz w:val="18"/>
                <w:szCs w:val="18"/>
              </w:rPr>
              <w:t>%</w:t>
            </w:r>
          </w:p>
        </w:tc>
      </w:tr>
      <w:tr w:rsidR="003F05F4" w:rsidRPr="00565E46" w14:paraId="21EDAD2A"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7AECCD9B" w14:textId="61DE9D3D"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12: Needs/Services of Child, Parents &amp; Foster Parents</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69989C95" w14:textId="021D047E"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w:t>
            </w:r>
            <w:r w:rsidR="00816542" w:rsidRPr="00581E2E">
              <w:rPr>
                <w:rFonts w:asciiTheme="majorHAnsi" w:eastAsia="Times New Roman" w:hAnsiTheme="majorHAnsi"/>
                <w:color w:val="000000"/>
                <w:sz w:val="18"/>
                <w:szCs w:val="18"/>
              </w:rPr>
              <w:t>0</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EBBE1EA" w14:textId="2E4213D1"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816542" w:rsidRPr="00581E2E">
              <w:rPr>
                <w:rFonts w:asciiTheme="majorHAnsi" w:eastAsia="Times New Roman" w:hAnsiTheme="majorHAnsi"/>
                <w:color w:val="000000"/>
                <w:sz w:val="18"/>
                <w:szCs w:val="18"/>
              </w:rPr>
              <w:t>5</w:t>
            </w:r>
            <w:r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28D6830F" w14:textId="37FEFBB1"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3F05F4" w:rsidRPr="00581E2E">
              <w:rPr>
                <w:rFonts w:asciiTheme="majorHAnsi" w:eastAsia="Times New Roman" w:hAnsiTheme="majorHAnsi"/>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center"/>
            <w:hideMark/>
          </w:tcPr>
          <w:p w14:paraId="486EA101" w14:textId="4C0A79B6"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572372F0" w14:textId="29878BDA"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65%</w:t>
            </w:r>
          </w:p>
        </w:tc>
        <w:tc>
          <w:tcPr>
            <w:tcW w:w="877" w:type="dxa"/>
            <w:tcBorders>
              <w:top w:val="nil"/>
              <w:left w:val="nil"/>
              <w:bottom w:val="single" w:sz="4" w:space="0" w:color="auto"/>
              <w:right w:val="single" w:sz="4" w:space="0" w:color="auto"/>
            </w:tcBorders>
            <w:shd w:val="clear" w:color="auto" w:fill="auto"/>
            <w:noWrap/>
            <w:vAlign w:val="center"/>
            <w:hideMark/>
          </w:tcPr>
          <w:p w14:paraId="05FD3749" w14:textId="48EC0EBD"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E3E93AE" w14:textId="22FE3769"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1B461D7" w14:textId="0DA08D51"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01A309A" w14:textId="635A0B8E"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3F05F4" w:rsidRPr="00581E2E">
              <w:rPr>
                <w:rFonts w:asciiTheme="majorHAnsi" w:eastAsia="Times New Roman" w:hAnsiTheme="majorHAnsi"/>
                <w:color w:val="000000"/>
                <w:sz w:val="18"/>
                <w:szCs w:val="18"/>
              </w:rPr>
              <w:t>0%</w:t>
            </w:r>
          </w:p>
        </w:tc>
        <w:tc>
          <w:tcPr>
            <w:tcW w:w="830" w:type="dxa"/>
            <w:tcBorders>
              <w:top w:val="nil"/>
              <w:left w:val="nil"/>
              <w:bottom w:val="single" w:sz="4" w:space="0" w:color="auto"/>
              <w:right w:val="single" w:sz="8" w:space="0" w:color="auto"/>
            </w:tcBorders>
            <w:shd w:val="clear" w:color="auto" w:fill="auto"/>
            <w:noWrap/>
            <w:vAlign w:val="center"/>
            <w:hideMark/>
          </w:tcPr>
          <w:p w14:paraId="27C73FF7" w14:textId="107A2A18"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45</w:t>
            </w:r>
            <w:r w:rsidR="003F05F4" w:rsidRPr="00581E2E">
              <w:rPr>
                <w:rFonts w:asciiTheme="majorHAnsi" w:eastAsia="Times New Roman" w:hAnsiTheme="majorHAnsi"/>
                <w:color w:val="000000"/>
                <w:sz w:val="18"/>
                <w:szCs w:val="18"/>
              </w:rPr>
              <w:t>%</w:t>
            </w:r>
          </w:p>
        </w:tc>
      </w:tr>
      <w:tr w:rsidR="003F05F4" w:rsidRPr="00565E46" w14:paraId="4742542D"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3618F435"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13: Child and Family Involvement in Case Planning</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765D67D2" w14:textId="39AD9696"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68</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864E9EF" w14:textId="5376D75A"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90</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526F5F66" w14:textId="11306FE4"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DD723A" w:rsidRPr="00581E2E">
              <w:rPr>
                <w:rFonts w:asciiTheme="majorHAnsi" w:eastAsia="Times New Roman" w:hAnsiTheme="majorHAnsi"/>
                <w:color w:val="000000"/>
                <w:sz w:val="18"/>
                <w:szCs w:val="18"/>
              </w:rPr>
              <w:t>9</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5ABA359" w14:textId="0A41294A"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74</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74A65842" w14:textId="00D9BCDA"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84</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2C94CE65" w14:textId="3C2E96D1"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EF615E" w:rsidRPr="00581E2E">
              <w:rPr>
                <w:rFonts w:asciiTheme="majorHAnsi" w:eastAsia="Times New Roman" w:hAnsiTheme="majorHAnsi"/>
                <w:color w:val="000000"/>
                <w:sz w:val="18"/>
                <w:szCs w:val="18"/>
              </w:rPr>
              <w:t>2</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3BEBA40" w14:textId="625C9C6D"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6FC26FB" w14:textId="15E9F85D"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2703D15" w14:textId="4BE9B770"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565E46" w:rsidRPr="00581E2E">
              <w:rPr>
                <w:rFonts w:asciiTheme="majorHAnsi" w:eastAsia="Times New Roman" w:hAnsiTheme="majorHAnsi"/>
                <w:color w:val="000000"/>
                <w:sz w:val="18"/>
                <w:szCs w:val="18"/>
              </w:rPr>
              <w:t>3</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16E41690" w14:textId="602F319B"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63</w:t>
            </w:r>
            <w:r w:rsidR="003F05F4" w:rsidRPr="00581E2E">
              <w:rPr>
                <w:rFonts w:asciiTheme="majorHAnsi" w:eastAsia="Times New Roman" w:hAnsiTheme="majorHAnsi"/>
                <w:color w:val="000000"/>
                <w:sz w:val="18"/>
                <w:szCs w:val="18"/>
              </w:rPr>
              <w:t>%</w:t>
            </w:r>
          </w:p>
        </w:tc>
      </w:tr>
      <w:tr w:rsidR="003F05F4" w:rsidRPr="00565E46" w14:paraId="2F50AF7B"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56A40F39"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14: Caseworker Visits with Child</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6EE8E57B" w14:textId="0D8EF30F"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3F05F4" w:rsidRPr="00581E2E">
              <w:rPr>
                <w:rFonts w:asciiTheme="majorHAnsi" w:eastAsia="Times New Roman" w:hAnsiTheme="majorHAnsi"/>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center"/>
            <w:hideMark/>
          </w:tcPr>
          <w:p w14:paraId="77B88F79" w14:textId="400F4191"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95</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7E651575" w14:textId="24533D95"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DD723A" w:rsidRPr="00581E2E">
              <w:rPr>
                <w:rFonts w:asciiTheme="majorHAnsi" w:eastAsia="Times New Roman" w:hAnsiTheme="majorHAnsi"/>
                <w:color w:val="000000"/>
                <w:sz w:val="18"/>
                <w:szCs w:val="18"/>
              </w:rPr>
              <w:t>5</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06F51721" w14:textId="286E31CE"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0384F694" w14:textId="6D982773"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80%</w:t>
            </w:r>
          </w:p>
        </w:tc>
        <w:tc>
          <w:tcPr>
            <w:tcW w:w="877" w:type="dxa"/>
            <w:tcBorders>
              <w:top w:val="nil"/>
              <w:left w:val="nil"/>
              <w:bottom w:val="single" w:sz="4" w:space="0" w:color="auto"/>
              <w:right w:val="single" w:sz="4" w:space="0" w:color="auto"/>
            </w:tcBorders>
            <w:shd w:val="clear" w:color="auto" w:fill="auto"/>
            <w:noWrap/>
            <w:vAlign w:val="center"/>
            <w:hideMark/>
          </w:tcPr>
          <w:p w14:paraId="1EF437FA" w14:textId="267979EA"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3F05F4" w:rsidRPr="00581E2E">
              <w:rPr>
                <w:rFonts w:asciiTheme="majorHAnsi" w:eastAsia="Times New Roman" w:hAnsiTheme="majorHAnsi"/>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center"/>
            <w:hideMark/>
          </w:tcPr>
          <w:p w14:paraId="1A142BBE" w14:textId="1D46C3D3"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3F05F4" w:rsidRPr="00581E2E">
              <w:rPr>
                <w:rFonts w:asciiTheme="majorHAnsi" w:eastAsia="Times New Roman" w:hAnsiTheme="majorHAnsi"/>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center"/>
            <w:hideMark/>
          </w:tcPr>
          <w:p w14:paraId="12DEDB2A" w14:textId="3ED349DF"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3F05F4" w:rsidRPr="00581E2E">
              <w:rPr>
                <w:rFonts w:asciiTheme="majorHAnsi" w:eastAsia="Times New Roman" w:hAnsiTheme="majorHAnsi"/>
                <w:color w:val="000000"/>
                <w:sz w:val="18"/>
                <w:szCs w:val="18"/>
              </w:rPr>
              <w:t>5%</w:t>
            </w:r>
          </w:p>
        </w:tc>
        <w:tc>
          <w:tcPr>
            <w:tcW w:w="830" w:type="dxa"/>
            <w:tcBorders>
              <w:top w:val="nil"/>
              <w:left w:val="nil"/>
              <w:bottom w:val="single" w:sz="4" w:space="0" w:color="auto"/>
              <w:right w:val="single" w:sz="4" w:space="0" w:color="auto"/>
            </w:tcBorders>
            <w:shd w:val="clear" w:color="auto" w:fill="auto"/>
            <w:noWrap/>
            <w:vAlign w:val="center"/>
            <w:hideMark/>
          </w:tcPr>
          <w:p w14:paraId="0A8A8425" w14:textId="4AC5D025"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565E46" w:rsidRPr="00581E2E">
              <w:rPr>
                <w:rFonts w:asciiTheme="majorHAnsi" w:eastAsia="Times New Roman" w:hAnsiTheme="majorHAnsi"/>
                <w:color w:val="000000"/>
                <w:sz w:val="18"/>
                <w:szCs w:val="18"/>
              </w:rPr>
              <w:t>5</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7EFC4785" w14:textId="21CEF702"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8</w:t>
            </w:r>
            <w:r w:rsidR="003F05F4" w:rsidRPr="00581E2E">
              <w:rPr>
                <w:rFonts w:asciiTheme="majorHAnsi" w:eastAsia="Times New Roman" w:hAnsiTheme="majorHAnsi"/>
                <w:color w:val="000000"/>
                <w:sz w:val="18"/>
                <w:szCs w:val="18"/>
              </w:rPr>
              <w:t>5%</w:t>
            </w:r>
          </w:p>
        </w:tc>
      </w:tr>
      <w:tr w:rsidR="003F05F4" w:rsidRPr="00565E46" w14:paraId="6B957623"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4568C665"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15: Caseworker Visits with Parents</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5F8FD9D2" w14:textId="1BE6B9DB"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50</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2CA431EB" w14:textId="7D74CDE3"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w:t>
            </w:r>
            <w:r w:rsidR="00816542" w:rsidRPr="00581E2E">
              <w:rPr>
                <w:rFonts w:asciiTheme="majorHAnsi" w:eastAsia="Times New Roman" w:hAnsiTheme="majorHAnsi"/>
                <w:color w:val="000000"/>
                <w:sz w:val="18"/>
                <w:szCs w:val="18"/>
              </w:rPr>
              <w:t>1</w:t>
            </w:r>
            <w:r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321BDC0A" w14:textId="050B7AAD"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w:t>
            </w:r>
            <w:r w:rsidR="00DD723A" w:rsidRPr="00581E2E">
              <w:rPr>
                <w:rFonts w:asciiTheme="majorHAnsi" w:eastAsia="Times New Roman" w:hAnsiTheme="majorHAnsi"/>
                <w:color w:val="000000"/>
                <w:sz w:val="18"/>
                <w:szCs w:val="18"/>
              </w:rPr>
              <w:t>3</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1D53309" w14:textId="34C028EB"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50%</w:t>
            </w:r>
          </w:p>
        </w:tc>
        <w:tc>
          <w:tcPr>
            <w:tcW w:w="877" w:type="dxa"/>
            <w:tcBorders>
              <w:top w:val="nil"/>
              <w:left w:val="nil"/>
              <w:bottom w:val="single" w:sz="4" w:space="0" w:color="auto"/>
              <w:right w:val="single" w:sz="4" w:space="0" w:color="auto"/>
            </w:tcBorders>
            <w:shd w:val="clear" w:color="auto" w:fill="auto"/>
            <w:noWrap/>
            <w:vAlign w:val="center"/>
            <w:hideMark/>
          </w:tcPr>
          <w:p w14:paraId="1B13E472" w14:textId="246DE00B"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58</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652FACC6" w14:textId="2638CB62"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54</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71040D15" w14:textId="6BDF29B8"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65</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376C0B6" w14:textId="6B505DBE"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w:t>
            </w:r>
            <w:r w:rsidR="00565E46" w:rsidRPr="00581E2E">
              <w:rPr>
                <w:rFonts w:asciiTheme="majorHAnsi" w:eastAsia="Times New Roman" w:hAnsiTheme="majorHAnsi"/>
                <w:color w:val="000000"/>
                <w:sz w:val="18"/>
                <w:szCs w:val="18"/>
              </w:rPr>
              <w:t>5</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DCBD71D" w14:textId="0529436E"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69</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50085AEF" w14:textId="1B0C7AC0"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w:t>
            </w:r>
            <w:r w:rsidR="00A17755">
              <w:rPr>
                <w:rFonts w:asciiTheme="majorHAnsi" w:eastAsia="Times New Roman" w:hAnsiTheme="majorHAnsi"/>
                <w:color w:val="000000"/>
                <w:sz w:val="18"/>
                <w:szCs w:val="18"/>
              </w:rPr>
              <w:t>9</w:t>
            </w:r>
            <w:r w:rsidRPr="00581E2E">
              <w:rPr>
                <w:rFonts w:asciiTheme="majorHAnsi" w:eastAsia="Times New Roman" w:hAnsiTheme="majorHAnsi"/>
                <w:color w:val="000000"/>
                <w:sz w:val="18"/>
                <w:szCs w:val="18"/>
              </w:rPr>
              <w:t>%</w:t>
            </w:r>
          </w:p>
        </w:tc>
      </w:tr>
      <w:tr w:rsidR="003F05F4" w:rsidRPr="00565E46" w14:paraId="01A2C24D" w14:textId="77777777" w:rsidTr="008D708D">
        <w:trPr>
          <w:trHeight w:val="630"/>
          <w:jc w:val="center"/>
        </w:trPr>
        <w:tc>
          <w:tcPr>
            <w:tcW w:w="6907" w:type="dxa"/>
            <w:tcBorders>
              <w:top w:val="nil"/>
              <w:left w:val="single" w:sz="8" w:space="0" w:color="auto"/>
              <w:bottom w:val="single" w:sz="4" w:space="0" w:color="auto"/>
              <w:right w:val="single" w:sz="4" w:space="0" w:color="FFFFFF"/>
            </w:tcBorders>
            <w:shd w:val="clear" w:color="000000" w:fill="215967"/>
            <w:vAlign w:val="center"/>
            <w:hideMark/>
          </w:tcPr>
          <w:p w14:paraId="5FE20B75" w14:textId="77777777" w:rsidR="003F05F4" w:rsidRPr="00581E2E" w:rsidRDefault="003F05F4" w:rsidP="00E377A0">
            <w:pPr>
              <w:spacing w:after="0" w:line="240" w:lineRule="auto"/>
              <w:rPr>
                <w:rFonts w:ascii="Cambria" w:eastAsia="Times New Roman" w:hAnsi="Cambria" w:cs="Arial"/>
                <w:b/>
                <w:bCs/>
                <w:color w:val="FFFFFF"/>
                <w:sz w:val="18"/>
                <w:szCs w:val="18"/>
              </w:rPr>
            </w:pPr>
            <w:r w:rsidRPr="00581E2E">
              <w:rPr>
                <w:rFonts w:ascii="Cambria" w:eastAsia="Times New Roman" w:hAnsi="Cambria" w:cs="Arial"/>
                <w:b/>
                <w:bCs/>
                <w:color w:val="FFFFFF"/>
                <w:sz w:val="18"/>
                <w:szCs w:val="18"/>
              </w:rPr>
              <w:t>Well-Being 2: Children receive appropriate services to meet their educational needs</w:t>
            </w:r>
          </w:p>
        </w:tc>
        <w:tc>
          <w:tcPr>
            <w:tcW w:w="877" w:type="dxa"/>
            <w:tcBorders>
              <w:top w:val="nil"/>
              <w:left w:val="nil"/>
              <w:bottom w:val="single" w:sz="4" w:space="0" w:color="auto"/>
              <w:right w:val="single" w:sz="4" w:space="0" w:color="FFFFFF"/>
            </w:tcBorders>
            <w:shd w:val="clear" w:color="000000" w:fill="215967"/>
            <w:noWrap/>
            <w:vAlign w:val="center"/>
            <w:hideMark/>
          </w:tcPr>
          <w:p w14:paraId="7DDE732C" w14:textId="71398EBA"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90%</w:t>
            </w:r>
          </w:p>
        </w:tc>
        <w:tc>
          <w:tcPr>
            <w:tcW w:w="830" w:type="dxa"/>
            <w:tcBorders>
              <w:top w:val="nil"/>
              <w:left w:val="nil"/>
              <w:bottom w:val="single" w:sz="4" w:space="0" w:color="auto"/>
              <w:right w:val="single" w:sz="4" w:space="0" w:color="FFFFFF"/>
            </w:tcBorders>
            <w:shd w:val="clear" w:color="000000" w:fill="215967"/>
            <w:noWrap/>
            <w:vAlign w:val="center"/>
            <w:hideMark/>
          </w:tcPr>
          <w:p w14:paraId="59F55FDC" w14:textId="48CDDC89"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w:t>
            </w:r>
            <w:r w:rsidR="00816542" w:rsidRPr="00581E2E">
              <w:rPr>
                <w:rFonts w:asciiTheme="majorHAnsi" w:eastAsia="Times New Roman" w:hAnsiTheme="majorHAnsi"/>
                <w:b/>
                <w:bCs/>
                <w:color w:val="FFFFFF"/>
                <w:sz w:val="18"/>
                <w:szCs w:val="18"/>
              </w:rPr>
              <w:t>2</w:t>
            </w:r>
            <w:r w:rsidRPr="00581E2E">
              <w:rPr>
                <w:rFonts w:asciiTheme="majorHAnsi" w:eastAsia="Times New Roman" w:hAnsiTheme="majorHAnsi"/>
                <w:b/>
                <w:bCs/>
                <w:color w:val="FFFFFF"/>
                <w:sz w:val="18"/>
                <w:szCs w:val="18"/>
              </w:rPr>
              <w:t>%</w:t>
            </w:r>
          </w:p>
        </w:tc>
        <w:tc>
          <w:tcPr>
            <w:tcW w:w="820" w:type="dxa"/>
            <w:tcBorders>
              <w:top w:val="nil"/>
              <w:left w:val="nil"/>
              <w:bottom w:val="single" w:sz="4" w:space="0" w:color="auto"/>
              <w:right w:val="single" w:sz="4" w:space="0" w:color="FFFFFF"/>
            </w:tcBorders>
            <w:shd w:val="clear" w:color="000000" w:fill="215967"/>
            <w:noWrap/>
            <w:vAlign w:val="center"/>
            <w:hideMark/>
          </w:tcPr>
          <w:p w14:paraId="356B64F2" w14:textId="4CD3B58F"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100%</w:t>
            </w:r>
          </w:p>
        </w:tc>
        <w:tc>
          <w:tcPr>
            <w:tcW w:w="830" w:type="dxa"/>
            <w:tcBorders>
              <w:top w:val="nil"/>
              <w:left w:val="nil"/>
              <w:bottom w:val="single" w:sz="4" w:space="0" w:color="auto"/>
              <w:right w:val="single" w:sz="4" w:space="0" w:color="FFFFFF"/>
            </w:tcBorders>
            <w:shd w:val="clear" w:color="000000" w:fill="215967"/>
            <w:noWrap/>
            <w:vAlign w:val="center"/>
            <w:hideMark/>
          </w:tcPr>
          <w:p w14:paraId="740C7293" w14:textId="1C9243DF" w:rsidR="003F05F4" w:rsidRPr="00581E2E" w:rsidRDefault="00DD723A"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100</w:t>
            </w:r>
            <w:r w:rsidR="003F05F4" w:rsidRPr="00581E2E">
              <w:rPr>
                <w:rFonts w:asciiTheme="majorHAnsi" w:eastAsia="Times New Roman" w:hAnsiTheme="majorHAnsi"/>
                <w:b/>
                <w:bCs/>
                <w:color w:val="FFFFFF"/>
                <w:sz w:val="18"/>
                <w:szCs w:val="18"/>
              </w:rPr>
              <w:t>%</w:t>
            </w:r>
          </w:p>
        </w:tc>
        <w:tc>
          <w:tcPr>
            <w:tcW w:w="877" w:type="dxa"/>
            <w:tcBorders>
              <w:top w:val="nil"/>
              <w:left w:val="nil"/>
              <w:bottom w:val="single" w:sz="4" w:space="0" w:color="auto"/>
              <w:right w:val="nil"/>
            </w:tcBorders>
            <w:shd w:val="clear" w:color="000000" w:fill="215967"/>
            <w:noWrap/>
            <w:vAlign w:val="center"/>
            <w:hideMark/>
          </w:tcPr>
          <w:p w14:paraId="1C94695D" w14:textId="32427C28" w:rsidR="003F05F4" w:rsidRPr="00581E2E" w:rsidRDefault="00EF615E"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86</w:t>
            </w:r>
            <w:r w:rsidR="003F05F4" w:rsidRPr="00581E2E">
              <w:rPr>
                <w:rFonts w:asciiTheme="majorHAnsi" w:eastAsia="Times New Roman" w:hAnsiTheme="majorHAnsi"/>
                <w:b/>
                <w:bCs/>
                <w:color w:val="FFFFFF"/>
                <w:sz w:val="18"/>
                <w:szCs w:val="18"/>
              </w:rPr>
              <w:t>%</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049AE749" w14:textId="3BA1E293" w:rsidR="003F05F4" w:rsidRPr="00581E2E" w:rsidRDefault="00EF615E"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92</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45A78E79" w14:textId="432F646B"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100%</w:t>
            </w:r>
          </w:p>
        </w:tc>
        <w:tc>
          <w:tcPr>
            <w:tcW w:w="830" w:type="dxa"/>
            <w:tcBorders>
              <w:top w:val="nil"/>
              <w:left w:val="single" w:sz="4" w:space="0" w:color="FFFFFF"/>
              <w:bottom w:val="single" w:sz="4" w:space="0" w:color="auto"/>
              <w:right w:val="single" w:sz="4" w:space="0" w:color="FFFFFF"/>
            </w:tcBorders>
            <w:shd w:val="clear" w:color="000000" w:fill="215967"/>
            <w:noWrap/>
            <w:vAlign w:val="center"/>
            <w:hideMark/>
          </w:tcPr>
          <w:p w14:paraId="48117F37" w14:textId="156A0ABE"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92%</w:t>
            </w:r>
          </w:p>
        </w:tc>
        <w:tc>
          <w:tcPr>
            <w:tcW w:w="830" w:type="dxa"/>
            <w:tcBorders>
              <w:top w:val="nil"/>
              <w:left w:val="nil"/>
              <w:bottom w:val="single" w:sz="4" w:space="0" w:color="auto"/>
              <w:right w:val="nil"/>
            </w:tcBorders>
            <w:shd w:val="clear" w:color="000000" w:fill="215967"/>
            <w:noWrap/>
            <w:vAlign w:val="center"/>
            <w:hideMark/>
          </w:tcPr>
          <w:p w14:paraId="624A30DA" w14:textId="4C7DE549"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92</w:t>
            </w:r>
            <w:r w:rsidR="003F05F4" w:rsidRPr="00581E2E">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8" w:space="0" w:color="auto"/>
            </w:tcBorders>
            <w:shd w:val="clear" w:color="000000" w:fill="215967"/>
            <w:noWrap/>
            <w:vAlign w:val="center"/>
            <w:hideMark/>
          </w:tcPr>
          <w:p w14:paraId="53410D29" w14:textId="14D21117" w:rsidR="003F05F4" w:rsidRPr="00581E2E" w:rsidRDefault="00A17755" w:rsidP="00E377A0">
            <w:pPr>
              <w:spacing w:after="0" w:line="240" w:lineRule="auto"/>
              <w:jc w:val="center"/>
              <w:rPr>
                <w:rFonts w:asciiTheme="majorHAnsi" w:eastAsia="Times New Roman" w:hAnsiTheme="majorHAnsi" w:cs="Arial"/>
                <w:b/>
                <w:bCs/>
                <w:color w:val="FFFFFF"/>
                <w:sz w:val="18"/>
                <w:szCs w:val="18"/>
              </w:rPr>
            </w:pPr>
            <w:r>
              <w:rPr>
                <w:rFonts w:asciiTheme="majorHAnsi" w:eastAsia="Times New Roman" w:hAnsiTheme="majorHAnsi"/>
                <w:b/>
                <w:bCs/>
                <w:color w:val="FFFFFF"/>
                <w:sz w:val="18"/>
                <w:szCs w:val="18"/>
              </w:rPr>
              <w:t>89</w:t>
            </w:r>
            <w:r w:rsidR="003F05F4" w:rsidRPr="00581E2E">
              <w:rPr>
                <w:rFonts w:asciiTheme="majorHAnsi" w:eastAsia="Times New Roman" w:hAnsiTheme="majorHAnsi"/>
                <w:b/>
                <w:bCs/>
                <w:color w:val="FFFFFF"/>
                <w:sz w:val="18"/>
                <w:szCs w:val="18"/>
              </w:rPr>
              <w:t>%</w:t>
            </w:r>
          </w:p>
        </w:tc>
      </w:tr>
      <w:tr w:rsidR="003F05F4" w:rsidRPr="00565E46" w14:paraId="2C7F01B6"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5C04C6BB"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16: Educational Needs of the Child</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3E48EE11" w14:textId="7F8766CA"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90%</w:t>
            </w:r>
          </w:p>
        </w:tc>
        <w:tc>
          <w:tcPr>
            <w:tcW w:w="830" w:type="dxa"/>
            <w:tcBorders>
              <w:top w:val="nil"/>
              <w:left w:val="nil"/>
              <w:bottom w:val="single" w:sz="4" w:space="0" w:color="auto"/>
              <w:right w:val="single" w:sz="4" w:space="0" w:color="auto"/>
            </w:tcBorders>
            <w:shd w:val="clear" w:color="auto" w:fill="auto"/>
            <w:noWrap/>
            <w:vAlign w:val="center"/>
            <w:hideMark/>
          </w:tcPr>
          <w:p w14:paraId="0EE1EA54" w14:textId="59E66497"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w:t>
            </w:r>
            <w:r w:rsidR="00816542" w:rsidRPr="00581E2E">
              <w:rPr>
                <w:rFonts w:asciiTheme="majorHAnsi" w:eastAsia="Times New Roman" w:hAnsiTheme="majorHAnsi"/>
                <w:color w:val="000000"/>
                <w:sz w:val="18"/>
                <w:szCs w:val="18"/>
              </w:rPr>
              <w:t>2</w:t>
            </w:r>
            <w:r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0BE75E6D" w14:textId="7F1F5225"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p>
        </w:tc>
        <w:tc>
          <w:tcPr>
            <w:tcW w:w="830" w:type="dxa"/>
            <w:tcBorders>
              <w:top w:val="nil"/>
              <w:left w:val="nil"/>
              <w:bottom w:val="single" w:sz="4" w:space="0" w:color="auto"/>
              <w:right w:val="single" w:sz="4" w:space="0" w:color="auto"/>
            </w:tcBorders>
            <w:shd w:val="clear" w:color="auto" w:fill="auto"/>
            <w:noWrap/>
            <w:vAlign w:val="center"/>
            <w:hideMark/>
          </w:tcPr>
          <w:p w14:paraId="461E4122" w14:textId="76ADC866"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11B57E69" w14:textId="03EDDF34"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86</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7ABF3970" w14:textId="579881F7"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150B7FD7" w14:textId="116B0402"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p>
        </w:tc>
        <w:tc>
          <w:tcPr>
            <w:tcW w:w="830" w:type="dxa"/>
            <w:tcBorders>
              <w:top w:val="nil"/>
              <w:left w:val="nil"/>
              <w:bottom w:val="single" w:sz="4" w:space="0" w:color="auto"/>
              <w:right w:val="single" w:sz="4" w:space="0" w:color="auto"/>
            </w:tcBorders>
            <w:shd w:val="clear" w:color="auto" w:fill="auto"/>
            <w:noWrap/>
            <w:vAlign w:val="center"/>
            <w:hideMark/>
          </w:tcPr>
          <w:p w14:paraId="75342236" w14:textId="064691E5"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p>
        </w:tc>
        <w:tc>
          <w:tcPr>
            <w:tcW w:w="830" w:type="dxa"/>
            <w:tcBorders>
              <w:top w:val="nil"/>
              <w:left w:val="nil"/>
              <w:bottom w:val="single" w:sz="4" w:space="0" w:color="auto"/>
              <w:right w:val="single" w:sz="4" w:space="0" w:color="auto"/>
            </w:tcBorders>
            <w:shd w:val="clear" w:color="auto" w:fill="auto"/>
            <w:noWrap/>
            <w:vAlign w:val="center"/>
            <w:hideMark/>
          </w:tcPr>
          <w:p w14:paraId="6C1159EA" w14:textId="10BEC3CA"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70B36037" w14:textId="0169D4CF"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89</w:t>
            </w:r>
            <w:r w:rsidR="003F05F4" w:rsidRPr="00581E2E">
              <w:rPr>
                <w:rFonts w:asciiTheme="majorHAnsi" w:eastAsia="Times New Roman" w:hAnsiTheme="majorHAnsi"/>
                <w:color w:val="000000"/>
                <w:sz w:val="18"/>
                <w:szCs w:val="18"/>
              </w:rPr>
              <w:t>%</w:t>
            </w:r>
          </w:p>
        </w:tc>
      </w:tr>
      <w:tr w:rsidR="003F05F4" w:rsidRPr="00565E46" w14:paraId="461D0D94" w14:textId="77777777" w:rsidTr="008D708D">
        <w:trPr>
          <w:trHeight w:val="630"/>
          <w:jc w:val="center"/>
        </w:trPr>
        <w:tc>
          <w:tcPr>
            <w:tcW w:w="6907" w:type="dxa"/>
            <w:tcBorders>
              <w:top w:val="nil"/>
              <w:left w:val="single" w:sz="8" w:space="0" w:color="auto"/>
              <w:bottom w:val="single" w:sz="4" w:space="0" w:color="auto"/>
              <w:right w:val="nil"/>
            </w:tcBorders>
            <w:shd w:val="clear" w:color="000000" w:fill="215967"/>
            <w:vAlign w:val="center"/>
            <w:hideMark/>
          </w:tcPr>
          <w:p w14:paraId="1F7173F8" w14:textId="77777777" w:rsidR="003F05F4" w:rsidRPr="00581E2E" w:rsidRDefault="003F05F4" w:rsidP="00E377A0">
            <w:pPr>
              <w:spacing w:after="0" w:line="240" w:lineRule="auto"/>
              <w:rPr>
                <w:rFonts w:ascii="Cambria" w:eastAsia="Times New Roman" w:hAnsi="Cambria" w:cs="Arial"/>
                <w:b/>
                <w:bCs/>
                <w:color w:val="FFFFFF"/>
                <w:sz w:val="18"/>
                <w:szCs w:val="18"/>
              </w:rPr>
            </w:pPr>
            <w:r w:rsidRPr="00581E2E">
              <w:rPr>
                <w:rFonts w:ascii="Cambria" w:eastAsia="Times New Roman" w:hAnsi="Cambria" w:cs="Arial"/>
                <w:b/>
                <w:bCs/>
                <w:color w:val="FFFFFF"/>
                <w:sz w:val="18"/>
                <w:szCs w:val="18"/>
              </w:rPr>
              <w:t>Well-Being 3: Children receive adequate services to meet their physical and mental health needs</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5E7AA431" w14:textId="5415B40F"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8</w:t>
            </w:r>
            <w:r w:rsidR="00816542" w:rsidRPr="00581E2E">
              <w:rPr>
                <w:rFonts w:asciiTheme="majorHAnsi" w:eastAsia="Times New Roman" w:hAnsiTheme="majorHAnsi"/>
                <w:b/>
                <w:bCs/>
                <w:color w:val="FFFFFF"/>
                <w:sz w:val="18"/>
                <w:szCs w:val="18"/>
              </w:rPr>
              <w:t>0</w:t>
            </w:r>
            <w:r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21F9E75C" w14:textId="5FA97964" w:rsidR="003F05F4" w:rsidRPr="00581E2E" w:rsidRDefault="00816542"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81</w:t>
            </w:r>
            <w:r w:rsidR="003F05F4" w:rsidRPr="00581E2E">
              <w:rPr>
                <w:rFonts w:asciiTheme="majorHAnsi" w:eastAsia="Times New Roman" w:hAnsiTheme="majorHAnsi"/>
                <w:b/>
                <w:bCs/>
                <w:color w:val="FFFFFF"/>
                <w:sz w:val="18"/>
                <w:szCs w:val="18"/>
              </w:rPr>
              <w:t>%</w:t>
            </w:r>
          </w:p>
        </w:tc>
        <w:tc>
          <w:tcPr>
            <w:tcW w:w="820" w:type="dxa"/>
            <w:tcBorders>
              <w:top w:val="nil"/>
              <w:left w:val="single" w:sz="4" w:space="0" w:color="FFFFFF"/>
              <w:bottom w:val="single" w:sz="4" w:space="0" w:color="auto"/>
              <w:right w:val="single" w:sz="4" w:space="0" w:color="FFFFFF"/>
            </w:tcBorders>
            <w:shd w:val="clear" w:color="000000" w:fill="215967"/>
            <w:noWrap/>
            <w:vAlign w:val="center"/>
            <w:hideMark/>
          </w:tcPr>
          <w:p w14:paraId="0B2D7C0F" w14:textId="03A2E3BF" w:rsidR="003F05F4" w:rsidRPr="00581E2E" w:rsidRDefault="00DD723A"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67</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6AFCF170" w14:textId="1B07D7E0" w:rsidR="003F05F4" w:rsidRPr="00581E2E" w:rsidRDefault="00DD723A"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94</w:t>
            </w:r>
            <w:r w:rsidR="003F05F4" w:rsidRPr="00581E2E">
              <w:rPr>
                <w:rFonts w:asciiTheme="majorHAnsi" w:eastAsia="Times New Roman" w:hAnsiTheme="majorHAnsi"/>
                <w:b/>
                <w:bCs/>
                <w:color w:val="FFFFFF"/>
                <w:sz w:val="18"/>
                <w:szCs w:val="18"/>
              </w:rPr>
              <w:t>%</w:t>
            </w:r>
          </w:p>
        </w:tc>
        <w:tc>
          <w:tcPr>
            <w:tcW w:w="877" w:type="dxa"/>
            <w:tcBorders>
              <w:top w:val="nil"/>
              <w:left w:val="single" w:sz="4" w:space="0" w:color="FFFFFF"/>
              <w:bottom w:val="single" w:sz="4" w:space="0" w:color="auto"/>
              <w:right w:val="nil"/>
            </w:tcBorders>
            <w:shd w:val="clear" w:color="000000" w:fill="215967"/>
            <w:noWrap/>
            <w:vAlign w:val="center"/>
            <w:hideMark/>
          </w:tcPr>
          <w:p w14:paraId="04C7330D" w14:textId="16F17CC7" w:rsidR="003F05F4" w:rsidRPr="00581E2E" w:rsidRDefault="00EF615E"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65</w:t>
            </w:r>
            <w:r w:rsidR="003F05F4" w:rsidRPr="00581E2E">
              <w:rPr>
                <w:rFonts w:asciiTheme="majorHAnsi" w:eastAsia="Times New Roman" w:hAnsiTheme="majorHAnsi"/>
                <w:b/>
                <w:bCs/>
                <w:color w:val="FFFFFF"/>
                <w:sz w:val="18"/>
                <w:szCs w:val="18"/>
              </w:rPr>
              <w:t>%</w:t>
            </w:r>
          </w:p>
        </w:tc>
        <w:tc>
          <w:tcPr>
            <w:tcW w:w="877" w:type="dxa"/>
            <w:tcBorders>
              <w:top w:val="nil"/>
              <w:left w:val="single" w:sz="4" w:space="0" w:color="FFFFFF"/>
              <w:bottom w:val="single" w:sz="4" w:space="0" w:color="auto"/>
              <w:right w:val="single" w:sz="4" w:space="0" w:color="FFFFFF"/>
            </w:tcBorders>
            <w:shd w:val="clear" w:color="000000" w:fill="215967"/>
            <w:noWrap/>
            <w:vAlign w:val="center"/>
            <w:hideMark/>
          </w:tcPr>
          <w:p w14:paraId="68FE39A2" w14:textId="494C8DF2" w:rsidR="003F05F4" w:rsidRPr="00581E2E" w:rsidRDefault="00EF615E"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78</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7BF5F9BA" w14:textId="18EE6AD6"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78</w:t>
            </w:r>
            <w:r w:rsidR="003F05F4"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single" w:sz="4" w:space="0" w:color="FFFFFF"/>
            </w:tcBorders>
            <w:shd w:val="clear" w:color="000000" w:fill="215967"/>
            <w:noWrap/>
            <w:vAlign w:val="center"/>
            <w:hideMark/>
          </w:tcPr>
          <w:p w14:paraId="267A5AC5" w14:textId="0D855921" w:rsidR="003F05F4" w:rsidRPr="00581E2E" w:rsidRDefault="003F05F4"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8</w:t>
            </w:r>
            <w:r w:rsidR="00565E46" w:rsidRPr="00581E2E">
              <w:rPr>
                <w:rFonts w:asciiTheme="majorHAnsi" w:eastAsia="Times New Roman" w:hAnsiTheme="majorHAnsi"/>
                <w:b/>
                <w:bCs/>
                <w:color w:val="FFFFFF"/>
                <w:sz w:val="18"/>
                <w:szCs w:val="18"/>
              </w:rPr>
              <w:t>1</w:t>
            </w:r>
            <w:r w:rsidRPr="00581E2E">
              <w:rPr>
                <w:rFonts w:asciiTheme="majorHAnsi" w:eastAsia="Times New Roman" w:hAnsiTheme="majorHAnsi"/>
                <w:b/>
                <w:bCs/>
                <w:color w:val="FFFFFF"/>
                <w:sz w:val="18"/>
                <w:szCs w:val="18"/>
              </w:rPr>
              <w:t>%</w:t>
            </w:r>
          </w:p>
        </w:tc>
        <w:tc>
          <w:tcPr>
            <w:tcW w:w="830" w:type="dxa"/>
            <w:tcBorders>
              <w:top w:val="nil"/>
              <w:left w:val="nil"/>
              <w:bottom w:val="single" w:sz="4" w:space="0" w:color="auto"/>
              <w:right w:val="nil"/>
            </w:tcBorders>
            <w:shd w:val="clear" w:color="000000" w:fill="215967"/>
            <w:noWrap/>
            <w:vAlign w:val="center"/>
            <w:hideMark/>
          </w:tcPr>
          <w:p w14:paraId="3EF8F755" w14:textId="4FB9021B" w:rsidR="003F05F4" w:rsidRPr="00581E2E" w:rsidRDefault="00565E46" w:rsidP="00E377A0">
            <w:pPr>
              <w:spacing w:after="0" w:line="240" w:lineRule="auto"/>
              <w:jc w:val="center"/>
              <w:rPr>
                <w:rFonts w:asciiTheme="majorHAnsi" w:eastAsia="Times New Roman" w:hAnsiTheme="majorHAnsi" w:cs="Arial"/>
                <w:b/>
                <w:bCs/>
                <w:color w:val="FFFFFF"/>
                <w:sz w:val="18"/>
                <w:szCs w:val="18"/>
              </w:rPr>
            </w:pPr>
            <w:r w:rsidRPr="00581E2E">
              <w:rPr>
                <w:rFonts w:asciiTheme="majorHAnsi" w:eastAsia="Times New Roman" w:hAnsiTheme="majorHAnsi"/>
                <w:b/>
                <w:bCs/>
                <w:color w:val="FFFFFF"/>
                <w:sz w:val="18"/>
                <w:szCs w:val="18"/>
              </w:rPr>
              <w:t>47</w:t>
            </w:r>
            <w:r w:rsidR="003F05F4" w:rsidRPr="00581E2E">
              <w:rPr>
                <w:rFonts w:asciiTheme="majorHAnsi" w:eastAsia="Times New Roman" w:hAnsiTheme="majorHAnsi"/>
                <w:b/>
                <w:bCs/>
                <w:color w:val="FFFFFF"/>
                <w:sz w:val="18"/>
                <w:szCs w:val="18"/>
              </w:rPr>
              <w:t>%</w:t>
            </w:r>
          </w:p>
        </w:tc>
        <w:tc>
          <w:tcPr>
            <w:tcW w:w="830" w:type="dxa"/>
            <w:tcBorders>
              <w:top w:val="nil"/>
              <w:left w:val="single" w:sz="4" w:space="0" w:color="FFFFFF"/>
              <w:bottom w:val="single" w:sz="4" w:space="0" w:color="auto"/>
              <w:right w:val="single" w:sz="8" w:space="0" w:color="auto"/>
            </w:tcBorders>
            <w:shd w:val="clear" w:color="000000" w:fill="215967"/>
            <w:noWrap/>
            <w:vAlign w:val="center"/>
            <w:hideMark/>
          </w:tcPr>
          <w:p w14:paraId="70354175" w14:textId="0792ABB7" w:rsidR="003F05F4" w:rsidRPr="00581E2E" w:rsidRDefault="00A17755" w:rsidP="00E377A0">
            <w:pPr>
              <w:spacing w:after="0" w:line="240" w:lineRule="auto"/>
              <w:jc w:val="center"/>
              <w:rPr>
                <w:rFonts w:asciiTheme="majorHAnsi" w:eastAsia="Times New Roman" w:hAnsiTheme="majorHAnsi" w:cs="Arial"/>
                <w:b/>
                <w:bCs/>
                <w:color w:val="FFFFFF"/>
                <w:sz w:val="18"/>
                <w:szCs w:val="18"/>
              </w:rPr>
            </w:pPr>
            <w:r>
              <w:rPr>
                <w:rFonts w:asciiTheme="majorHAnsi" w:eastAsia="Times New Roman" w:hAnsiTheme="majorHAnsi"/>
                <w:b/>
                <w:bCs/>
                <w:color w:val="FFFFFF"/>
                <w:sz w:val="18"/>
                <w:szCs w:val="18"/>
              </w:rPr>
              <w:t>83</w:t>
            </w:r>
            <w:r w:rsidR="003F05F4" w:rsidRPr="00581E2E">
              <w:rPr>
                <w:rFonts w:asciiTheme="majorHAnsi" w:eastAsia="Times New Roman" w:hAnsiTheme="majorHAnsi"/>
                <w:b/>
                <w:bCs/>
                <w:color w:val="FFFFFF"/>
                <w:sz w:val="18"/>
                <w:szCs w:val="18"/>
              </w:rPr>
              <w:t>%</w:t>
            </w:r>
          </w:p>
        </w:tc>
      </w:tr>
      <w:tr w:rsidR="003F05F4" w:rsidRPr="00565E46" w14:paraId="11CFB96B" w14:textId="77777777" w:rsidTr="008D708D">
        <w:trPr>
          <w:trHeight w:val="300"/>
          <w:jc w:val="center"/>
        </w:trPr>
        <w:tc>
          <w:tcPr>
            <w:tcW w:w="6907" w:type="dxa"/>
            <w:tcBorders>
              <w:top w:val="nil"/>
              <w:left w:val="single" w:sz="8" w:space="0" w:color="auto"/>
              <w:bottom w:val="single" w:sz="4" w:space="0" w:color="auto"/>
              <w:right w:val="single" w:sz="4" w:space="0" w:color="auto"/>
            </w:tcBorders>
            <w:shd w:val="clear" w:color="auto" w:fill="auto"/>
            <w:noWrap/>
            <w:vAlign w:val="center"/>
            <w:hideMark/>
          </w:tcPr>
          <w:p w14:paraId="639ECC24"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17: Physical Health of the Child</w:t>
            </w:r>
          </w:p>
        </w:tc>
        <w:tc>
          <w:tcPr>
            <w:tcW w:w="877" w:type="dxa"/>
            <w:tcBorders>
              <w:top w:val="nil"/>
              <w:left w:val="single" w:sz="8" w:space="0" w:color="auto"/>
              <w:bottom w:val="single" w:sz="4" w:space="0" w:color="auto"/>
              <w:right w:val="single" w:sz="4" w:space="0" w:color="auto"/>
            </w:tcBorders>
            <w:shd w:val="clear" w:color="auto" w:fill="auto"/>
            <w:noWrap/>
            <w:vAlign w:val="center"/>
            <w:hideMark/>
          </w:tcPr>
          <w:p w14:paraId="5E0A7810" w14:textId="20D24028"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816542" w:rsidRPr="00581E2E">
              <w:rPr>
                <w:rFonts w:asciiTheme="majorHAnsi" w:eastAsia="Times New Roman" w:hAnsiTheme="majorHAnsi"/>
                <w:color w:val="000000"/>
                <w:sz w:val="18"/>
                <w:szCs w:val="18"/>
              </w:rPr>
              <w:t>6</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2ACE8BC" w14:textId="3CF40C9B"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88</w:t>
            </w:r>
            <w:r w:rsidR="003F05F4" w:rsidRPr="00581E2E">
              <w:rPr>
                <w:rFonts w:asciiTheme="majorHAnsi" w:eastAsia="Times New Roman" w:hAnsiTheme="majorHAnsi"/>
                <w:color w:val="000000"/>
                <w:sz w:val="18"/>
                <w:szCs w:val="18"/>
              </w:rPr>
              <w:t>%</w:t>
            </w:r>
          </w:p>
        </w:tc>
        <w:tc>
          <w:tcPr>
            <w:tcW w:w="820" w:type="dxa"/>
            <w:tcBorders>
              <w:top w:val="nil"/>
              <w:left w:val="nil"/>
              <w:bottom w:val="single" w:sz="4" w:space="0" w:color="auto"/>
              <w:right w:val="single" w:sz="4" w:space="0" w:color="auto"/>
            </w:tcBorders>
            <w:shd w:val="clear" w:color="auto" w:fill="auto"/>
            <w:noWrap/>
            <w:vAlign w:val="center"/>
            <w:hideMark/>
          </w:tcPr>
          <w:p w14:paraId="4E6955DA" w14:textId="79947A7C"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69</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3A0F7911" w14:textId="502BE1A1"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100</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7EA45817" w14:textId="3E7BBD9F"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67</w:t>
            </w:r>
            <w:r w:rsidR="003F05F4" w:rsidRPr="00581E2E">
              <w:rPr>
                <w:rFonts w:asciiTheme="majorHAnsi" w:eastAsia="Times New Roman" w:hAnsiTheme="majorHAnsi"/>
                <w:color w:val="000000"/>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14:paraId="01D45F2C" w14:textId="2C265853"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4B53D55A" w14:textId="561740A4"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82</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6A2CCAA4" w14:textId="5517C146"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87</w:t>
            </w:r>
            <w:r w:rsidR="003F05F4"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366EA77" w14:textId="0B5E7146"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w:t>
            </w:r>
            <w:r w:rsidR="00565E46" w:rsidRPr="00581E2E">
              <w:rPr>
                <w:rFonts w:asciiTheme="majorHAnsi" w:eastAsia="Times New Roman" w:hAnsiTheme="majorHAnsi"/>
                <w:color w:val="000000"/>
                <w:sz w:val="18"/>
                <w:szCs w:val="18"/>
              </w:rPr>
              <w:t>6</w:t>
            </w:r>
            <w:r w:rsidRPr="00581E2E">
              <w:rPr>
                <w:rFonts w:asciiTheme="majorHAnsi" w:eastAsia="Times New Roman" w:hAnsiTheme="majorHAnsi"/>
                <w:color w:val="000000"/>
                <w:sz w:val="18"/>
                <w:szCs w:val="18"/>
              </w:rPr>
              <w:t>%</w:t>
            </w:r>
          </w:p>
        </w:tc>
        <w:tc>
          <w:tcPr>
            <w:tcW w:w="830" w:type="dxa"/>
            <w:tcBorders>
              <w:top w:val="nil"/>
              <w:left w:val="nil"/>
              <w:bottom w:val="single" w:sz="4" w:space="0" w:color="auto"/>
              <w:right w:val="single" w:sz="8" w:space="0" w:color="auto"/>
            </w:tcBorders>
            <w:shd w:val="clear" w:color="auto" w:fill="auto"/>
            <w:noWrap/>
            <w:vAlign w:val="center"/>
            <w:hideMark/>
          </w:tcPr>
          <w:p w14:paraId="2E3DBEDC" w14:textId="412C51E9"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88</w:t>
            </w:r>
            <w:r w:rsidR="003F05F4" w:rsidRPr="00581E2E">
              <w:rPr>
                <w:rFonts w:asciiTheme="majorHAnsi" w:eastAsia="Times New Roman" w:hAnsiTheme="majorHAnsi"/>
                <w:color w:val="000000"/>
                <w:sz w:val="18"/>
                <w:szCs w:val="18"/>
              </w:rPr>
              <w:t>%</w:t>
            </w:r>
          </w:p>
        </w:tc>
      </w:tr>
      <w:tr w:rsidR="003F05F4" w:rsidRPr="00565E46" w14:paraId="67ADAEE8" w14:textId="77777777" w:rsidTr="008D708D">
        <w:trPr>
          <w:trHeight w:val="315"/>
          <w:jc w:val="center"/>
        </w:trPr>
        <w:tc>
          <w:tcPr>
            <w:tcW w:w="6907" w:type="dxa"/>
            <w:tcBorders>
              <w:top w:val="nil"/>
              <w:left w:val="single" w:sz="8" w:space="0" w:color="auto"/>
              <w:bottom w:val="single" w:sz="8" w:space="0" w:color="auto"/>
              <w:right w:val="single" w:sz="4" w:space="0" w:color="auto"/>
            </w:tcBorders>
            <w:shd w:val="clear" w:color="auto" w:fill="auto"/>
            <w:noWrap/>
            <w:vAlign w:val="center"/>
            <w:hideMark/>
          </w:tcPr>
          <w:p w14:paraId="6908F9E3" w14:textId="77777777" w:rsidR="003F05F4" w:rsidRPr="00581E2E" w:rsidRDefault="003F05F4" w:rsidP="00E377A0">
            <w:pPr>
              <w:spacing w:after="0" w:line="240" w:lineRule="auto"/>
              <w:rPr>
                <w:rFonts w:ascii="Cambria" w:eastAsia="Times New Roman" w:hAnsi="Cambria" w:cs="Arial"/>
                <w:color w:val="000000"/>
                <w:sz w:val="18"/>
                <w:szCs w:val="18"/>
              </w:rPr>
            </w:pPr>
            <w:r w:rsidRPr="00581E2E">
              <w:rPr>
                <w:rFonts w:ascii="Cambria" w:eastAsia="Times New Roman" w:hAnsi="Cambria" w:cs="Arial"/>
                <w:color w:val="000000"/>
                <w:sz w:val="18"/>
                <w:szCs w:val="18"/>
              </w:rPr>
              <w:t xml:space="preserve">    Item 18: Mental/Behavioral Health of the Child</w:t>
            </w:r>
          </w:p>
        </w:tc>
        <w:tc>
          <w:tcPr>
            <w:tcW w:w="877" w:type="dxa"/>
            <w:tcBorders>
              <w:top w:val="nil"/>
              <w:left w:val="single" w:sz="8" w:space="0" w:color="auto"/>
              <w:bottom w:val="single" w:sz="8" w:space="0" w:color="auto"/>
              <w:right w:val="single" w:sz="4" w:space="0" w:color="auto"/>
            </w:tcBorders>
            <w:shd w:val="clear" w:color="auto" w:fill="auto"/>
            <w:noWrap/>
            <w:vAlign w:val="center"/>
            <w:hideMark/>
          </w:tcPr>
          <w:p w14:paraId="18676643" w14:textId="5C4F3C6C" w:rsidR="003F05F4" w:rsidRPr="00581E2E" w:rsidRDefault="00816542"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92</w:t>
            </w:r>
            <w:r w:rsidR="003F05F4" w:rsidRPr="00581E2E">
              <w:rPr>
                <w:rFonts w:asciiTheme="majorHAnsi" w:eastAsia="Times New Roman" w:hAnsiTheme="majorHAnsi"/>
                <w:color w:val="000000"/>
                <w:sz w:val="18"/>
                <w:szCs w:val="18"/>
              </w:rPr>
              <w:t>%</w:t>
            </w:r>
          </w:p>
        </w:tc>
        <w:tc>
          <w:tcPr>
            <w:tcW w:w="830" w:type="dxa"/>
            <w:tcBorders>
              <w:top w:val="nil"/>
              <w:left w:val="nil"/>
              <w:bottom w:val="single" w:sz="8" w:space="0" w:color="auto"/>
              <w:right w:val="single" w:sz="4" w:space="0" w:color="auto"/>
            </w:tcBorders>
            <w:shd w:val="clear" w:color="auto" w:fill="auto"/>
            <w:noWrap/>
            <w:vAlign w:val="center"/>
            <w:hideMark/>
          </w:tcPr>
          <w:p w14:paraId="51CAE84A" w14:textId="66CDE0D6"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91</w:t>
            </w:r>
            <w:r w:rsidR="003F05F4" w:rsidRPr="00581E2E">
              <w:rPr>
                <w:rFonts w:asciiTheme="majorHAnsi" w:eastAsia="Times New Roman" w:hAnsiTheme="majorHAnsi"/>
                <w:color w:val="000000"/>
                <w:sz w:val="18"/>
                <w:szCs w:val="18"/>
              </w:rPr>
              <w:t>%</w:t>
            </w:r>
          </w:p>
        </w:tc>
        <w:tc>
          <w:tcPr>
            <w:tcW w:w="820" w:type="dxa"/>
            <w:tcBorders>
              <w:top w:val="nil"/>
              <w:left w:val="nil"/>
              <w:bottom w:val="single" w:sz="8" w:space="0" w:color="auto"/>
              <w:right w:val="single" w:sz="4" w:space="0" w:color="auto"/>
            </w:tcBorders>
            <w:shd w:val="clear" w:color="auto" w:fill="auto"/>
            <w:noWrap/>
            <w:vAlign w:val="center"/>
            <w:hideMark/>
          </w:tcPr>
          <w:p w14:paraId="703E3174" w14:textId="03375746"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71</w:t>
            </w:r>
            <w:r w:rsidR="003F05F4" w:rsidRPr="00581E2E">
              <w:rPr>
                <w:rFonts w:asciiTheme="majorHAnsi" w:eastAsia="Times New Roman" w:hAnsiTheme="majorHAnsi"/>
                <w:color w:val="000000"/>
                <w:sz w:val="18"/>
                <w:szCs w:val="18"/>
              </w:rPr>
              <w:t>%</w:t>
            </w:r>
          </w:p>
        </w:tc>
        <w:tc>
          <w:tcPr>
            <w:tcW w:w="830" w:type="dxa"/>
            <w:tcBorders>
              <w:top w:val="nil"/>
              <w:left w:val="nil"/>
              <w:bottom w:val="single" w:sz="8" w:space="0" w:color="auto"/>
              <w:right w:val="single" w:sz="4" w:space="0" w:color="auto"/>
            </w:tcBorders>
            <w:shd w:val="clear" w:color="auto" w:fill="auto"/>
            <w:noWrap/>
            <w:vAlign w:val="center"/>
            <w:hideMark/>
          </w:tcPr>
          <w:p w14:paraId="1CFC0F6D" w14:textId="7D1BD09F" w:rsidR="003F05F4" w:rsidRPr="00581E2E" w:rsidRDefault="00DD723A"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9</w:t>
            </w:r>
            <w:r w:rsidR="003F05F4" w:rsidRPr="00581E2E">
              <w:rPr>
                <w:rFonts w:asciiTheme="majorHAnsi" w:eastAsia="Times New Roman" w:hAnsiTheme="majorHAnsi"/>
                <w:color w:val="000000"/>
                <w:sz w:val="18"/>
                <w:szCs w:val="18"/>
              </w:rPr>
              <w:t>1%</w:t>
            </w:r>
          </w:p>
        </w:tc>
        <w:tc>
          <w:tcPr>
            <w:tcW w:w="877" w:type="dxa"/>
            <w:tcBorders>
              <w:top w:val="nil"/>
              <w:left w:val="nil"/>
              <w:bottom w:val="single" w:sz="8" w:space="0" w:color="auto"/>
              <w:right w:val="single" w:sz="4" w:space="0" w:color="auto"/>
            </w:tcBorders>
            <w:shd w:val="clear" w:color="auto" w:fill="auto"/>
            <w:noWrap/>
            <w:vAlign w:val="center"/>
            <w:hideMark/>
          </w:tcPr>
          <w:p w14:paraId="0CE88BD0" w14:textId="2F1F6CCF" w:rsidR="003F05F4" w:rsidRPr="00581E2E" w:rsidRDefault="003F05F4"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w:t>
            </w:r>
            <w:r w:rsidR="00EF615E" w:rsidRPr="00581E2E">
              <w:rPr>
                <w:rFonts w:asciiTheme="majorHAnsi" w:eastAsia="Times New Roman" w:hAnsiTheme="majorHAnsi"/>
                <w:color w:val="000000"/>
                <w:sz w:val="18"/>
                <w:szCs w:val="18"/>
              </w:rPr>
              <w:t>8</w:t>
            </w:r>
            <w:r w:rsidRPr="00581E2E">
              <w:rPr>
                <w:rFonts w:asciiTheme="majorHAnsi" w:eastAsia="Times New Roman" w:hAnsiTheme="majorHAnsi"/>
                <w:color w:val="000000"/>
                <w:sz w:val="18"/>
                <w:szCs w:val="18"/>
              </w:rPr>
              <w:t>%</w:t>
            </w:r>
          </w:p>
        </w:tc>
        <w:tc>
          <w:tcPr>
            <w:tcW w:w="877" w:type="dxa"/>
            <w:tcBorders>
              <w:top w:val="nil"/>
              <w:left w:val="nil"/>
              <w:bottom w:val="single" w:sz="8" w:space="0" w:color="auto"/>
              <w:right w:val="single" w:sz="4" w:space="0" w:color="auto"/>
            </w:tcBorders>
            <w:shd w:val="clear" w:color="auto" w:fill="auto"/>
            <w:noWrap/>
            <w:vAlign w:val="center"/>
            <w:hideMark/>
          </w:tcPr>
          <w:p w14:paraId="50485B6A" w14:textId="639E1425" w:rsidR="003F05F4" w:rsidRPr="00581E2E" w:rsidRDefault="00EF615E"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89</w:t>
            </w:r>
            <w:r w:rsidR="003F05F4" w:rsidRPr="00581E2E">
              <w:rPr>
                <w:rFonts w:asciiTheme="majorHAnsi" w:eastAsia="Times New Roman" w:hAnsiTheme="majorHAnsi"/>
                <w:color w:val="000000"/>
                <w:sz w:val="18"/>
                <w:szCs w:val="18"/>
              </w:rPr>
              <w:t>%</w:t>
            </w:r>
          </w:p>
        </w:tc>
        <w:tc>
          <w:tcPr>
            <w:tcW w:w="830" w:type="dxa"/>
            <w:tcBorders>
              <w:top w:val="nil"/>
              <w:left w:val="nil"/>
              <w:bottom w:val="single" w:sz="8" w:space="0" w:color="auto"/>
              <w:right w:val="single" w:sz="4" w:space="0" w:color="auto"/>
            </w:tcBorders>
            <w:shd w:val="clear" w:color="auto" w:fill="auto"/>
            <w:noWrap/>
            <w:vAlign w:val="center"/>
            <w:hideMark/>
          </w:tcPr>
          <w:p w14:paraId="02E7DBD6" w14:textId="4277AC34"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86</w:t>
            </w:r>
            <w:r w:rsidR="003F05F4" w:rsidRPr="00581E2E">
              <w:rPr>
                <w:rFonts w:asciiTheme="majorHAnsi" w:eastAsia="Times New Roman" w:hAnsiTheme="majorHAnsi"/>
                <w:color w:val="000000"/>
                <w:sz w:val="18"/>
                <w:szCs w:val="18"/>
              </w:rPr>
              <w:t>%</w:t>
            </w:r>
          </w:p>
        </w:tc>
        <w:tc>
          <w:tcPr>
            <w:tcW w:w="830" w:type="dxa"/>
            <w:tcBorders>
              <w:top w:val="nil"/>
              <w:left w:val="nil"/>
              <w:bottom w:val="single" w:sz="8" w:space="0" w:color="auto"/>
              <w:right w:val="single" w:sz="4" w:space="0" w:color="auto"/>
            </w:tcBorders>
            <w:shd w:val="clear" w:color="auto" w:fill="auto"/>
            <w:noWrap/>
            <w:vAlign w:val="center"/>
            <w:hideMark/>
          </w:tcPr>
          <w:p w14:paraId="13E94A8E" w14:textId="04161BCA"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82</w:t>
            </w:r>
            <w:r w:rsidR="003F05F4" w:rsidRPr="00581E2E">
              <w:rPr>
                <w:rFonts w:asciiTheme="majorHAnsi" w:eastAsia="Times New Roman" w:hAnsiTheme="majorHAnsi"/>
                <w:color w:val="000000"/>
                <w:sz w:val="18"/>
                <w:szCs w:val="18"/>
              </w:rPr>
              <w:t>%</w:t>
            </w:r>
          </w:p>
        </w:tc>
        <w:tc>
          <w:tcPr>
            <w:tcW w:w="830" w:type="dxa"/>
            <w:tcBorders>
              <w:top w:val="nil"/>
              <w:left w:val="nil"/>
              <w:bottom w:val="single" w:sz="8" w:space="0" w:color="auto"/>
              <w:right w:val="single" w:sz="4" w:space="0" w:color="auto"/>
            </w:tcBorders>
            <w:shd w:val="clear" w:color="auto" w:fill="auto"/>
            <w:noWrap/>
            <w:vAlign w:val="center"/>
            <w:hideMark/>
          </w:tcPr>
          <w:p w14:paraId="77DDEAB3" w14:textId="5F34C024" w:rsidR="003F05F4" w:rsidRPr="00581E2E" w:rsidRDefault="00565E46" w:rsidP="00E377A0">
            <w:pPr>
              <w:spacing w:after="0" w:line="240" w:lineRule="auto"/>
              <w:jc w:val="center"/>
              <w:rPr>
                <w:rFonts w:asciiTheme="majorHAnsi" w:eastAsia="Times New Roman" w:hAnsiTheme="majorHAnsi" w:cs="Arial"/>
                <w:color w:val="000000"/>
                <w:sz w:val="18"/>
                <w:szCs w:val="18"/>
              </w:rPr>
            </w:pPr>
            <w:r w:rsidRPr="00581E2E">
              <w:rPr>
                <w:rFonts w:asciiTheme="majorHAnsi" w:eastAsia="Times New Roman" w:hAnsiTheme="majorHAnsi"/>
                <w:color w:val="000000"/>
                <w:sz w:val="18"/>
                <w:szCs w:val="18"/>
              </w:rPr>
              <w:t>56</w:t>
            </w:r>
            <w:r w:rsidR="003F05F4" w:rsidRPr="00581E2E">
              <w:rPr>
                <w:rFonts w:asciiTheme="majorHAnsi" w:eastAsia="Times New Roman" w:hAnsiTheme="majorHAnsi"/>
                <w:color w:val="000000"/>
                <w:sz w:val="18"/>
                <w:szCs w:val="18"/>
              </w:rPr>
              <w:t>%</w:t>
            </w:r>
          </w:p>
        </w:tc>
        <w:tc>
          <w:tcPr>
            <w:tcW w:w="830" w:type="dxa"/>
            <w:tcBorders>
              <w:top w:val="nil"/>
              <w:left w:val="nil"/>
              <w:bottom w:val="single" w:sz="8" w:space="0" w:color="auto"/>
              <w:right w:val="single" w:sz="8" w:space="0" w:color="auto"/>
            </w:tcBorders>
            <w:shd w:val="clear" w:color="auto" w:fill="auto"/>
            <w:noWrap/>
            <w:vAlign w:val="center"/>
            <w:hideMark/>
          </w:tcPr>
          <w:p w14:paraId="1781BFF4" w14:textId="05BC01EB" w:rsidR="003F05F4" w:rsidRPr="00581E2E" w:rsidRDefault="00A17755" w:rsidP="00E377A0">
            <w:pPr>
              <w:spacing w:after="0" w:line="240" w:lineRule="auto"/>
              <w:jc w:val="center"/>
              <w:rPr>
                <w:rFonts w:asciiTheme="majorHAnsi" w:eastAsia="Times New Roman" w:hAnsiTheme="majorHAnsi" w:cs="Arial"/>
                <w:color w:val="000000"/>
                <w:sz w:val="18"/>
                <w:szCs w:val="18"/>
              </w:rPr>
            </w:pPr>
            <w:r>
              <w:rPr>
                <w:rFonts w:asciiTheme="majorHAnsi" w:eastAsia="Times New Roman" w:hAnsiTheme="majorHAnsi"/>
                <w:color w:val="000000"/>
                <w:sz w:val="18"/>
                <w:szCs w:val="18"/>
              </w:rPr>
              <w:t>89</w:t>
            </w:r>
            <w:r w:rsidR="003F05F4" w:rsidRPr="00581E2E">
              <w:rPr>
                <w:rFonts w:asciiTheme="majorHAnsi" w:eastAsia="Times New Roman" w:hAnsiTheme="majorHAnsi"/>
                <w:color w:val="000000"/>
                <w:sz w:val="18"/>
                <w:szCs w:val="18"/>
              </w:rPr>
              <w:t>%</w:t>
            </w:r>
          </w:p>
        </w:tc>
      </w:tr>
    </w:tbl>
    <w:p w14:paraId="19B2394A" w14:textId="77777777" w:rsidR="0071156E" w:rsidRDefault="0071156E" w:rsidP="00050E79">
      <w:pPr>
        <w:rPr>
          <w:rFonts w:asciiTheme="majorHAnsi" w:hAnsiTheme="majorHAnsi" w:cs="Arial"/>
          <w:sz w:val="24"/>
          <w:szCs w:val="24"/>
        </w:rPr>
      </w:pPr>
    </w:p>
    <w:p w14:paraId="349B7B36" w14:textId="77777777" w:rsidR="009842D1" w:rsidRDefault="009842D1" w:rsidP="00050E79">
      <w:pPr>
        <w:rPr>
          <w:rFonts w:asciiTheme="majorHAnsi" w:hAnsiTheme="majorHAnsi" w:cs="Arial"/>
          <w:sz w:val="24"/>
          <w:szCs w:val="24"/>
        </w:rPr>
      </w:pPr>
    </w:p>
    <w:p w14:paraId="6A542652" w14:textId="77777777" w:rsidR="009842D1" w:rsidRDefault="009842D1" w:rsidP="00050E79">
      <w:pPr>
        <w:rPr>
          <w:rFonts w:asciiTheme="majorHAnsi" w:hAnsiTheme="majorHAnsi" w:cs="Arial"/>
          <w:sz w:val="24"/>
          <w:szCs w:val="24"/>
        </w:rPr>
      </w:pPr>
    </w:p>
    <w:p w14:paraId="394F1478" w14:textId="77777777" w:rsidR="009842D1" w:rsidRDefault="009842D1" w:rsidP="00050E79">
      <w:pPr>
        <w:rPr>
          <w:rFonts w:asciiTheme="majorHAnsi" w:hAnsiTheme="majorHAnsi" w:cs="Arial"/>
          <w:sz w:val="24"/>
          <w:szCs w:val="24"/>
        </w:rPr>
      </w:pPr>
    </w:p>
    <w:p w14:paraId="29D12306" w14:textId="77777777" w:rsidR="009842D1" w:rsidRDefault="009842D1" w:rsidP="00050E79">
      <w:pPr>
        <w:rPr>
          <w:rFonts w:asciiTheme="majorHAnsi" w:hAnsiTheme="majorHAnsi" w:cs="Arial"/>
          <w:sz w:val="24"/>
          <w:szCs w:val="24"/>
        </w:rPr>
      </w:pPr>
    </w:p>
    <w:p w14:paraId="3CD55428" w14:textId="77777777" w:rsidR="009842D1" w:rsidRDefault="009842D1" w:rsidP="00050E79">
      <w:pPr>
        <w:rPr>
          <w:rFonts w:asciiTheme="majorHAnsi" w:hAnsiTheme="majorHAnsi" w:cs="Arial"/>
          <w:sz w:val="24"/>
          <w:szCs w:val="24"/>
        </w:rPr>
      </w:pPr>
    </w:p>
    <w:p w14:paraId="57397871" w14:textId="77777777" w:rsidR="009842D1" w:rsidRDefault="009842D1" w:rsidP="00050E79">
      <w:pPr>
        <w:rPr>
          <w:rFonts w:asciiTheme="majorHAnsi" w:hAnsiTheme="majorHAnsi" w:cs="Arial"/>
          <w:sz w:val="24"/>
          <w:szCs w:val="24"/>
        </w:rPr>
      </w:pPr>
    </w:p>
    <w:p w14:paraId="52CE6A08" w14:textId="77777777" w:rsidR="009842D1" w:rsidRDefault="009842D1" w:rsidP="00050E79">
      <w:pPr>
        <w:rPr>
          <w:rFonts w:asciiTheme="majorHAnsi" w:hAnsiTheme="majorHAnsi" w:cs="Arial"/>
          <w:sz w:val="24"/>
          <w:szCs w:val="24"/>
        </w:rPr>
      </w:pPr>
    </w:p>
    <w:p w14:paraId="53C68CB9" w14:textId="77777777" w:rsidR="009842D1" w:rsidRDefault="009842D1" w:rsidP="00050E79">
      <w:pPr>
        <w:rPr>
          <w:rFonts w:asciiTheme="majorHAnsi" w:hAnsiTheme="majorHAnsi" w:cs="Arial"/>
          <w:sz w:val="24"/>
          <w:szCs w:val="24"/>
        </w:rPr>
      </w:pPr>
    </w:p>
    <w:p w14:paraId="03116A8E" w14:textId="77777777" w:rsidR="009842D1" w:rsidRDefault="009842D1" w:rsidP="00050E79">
      <w:pPr>
        <w:rPr>
          <w:rFonts w:asciiTheme="majorHAnsi" w:hAnsiTheme="majorHAnsi" w:cs="Arial"/>
          <w:sz w:val="24"/>
          <w:szCs w:val="24"/>
        </w:rPr>
      </w:pPr>
    </w:p>
    <w:p w14:paraId="4E3178CA" w14:textId="77777777" w:rsidR="009842D1" w:rsidRDefault="009842D1" w:rsidP="00050E79">
      <w:pPr>
        <w:rPr>
          <w:rFonts w:asciiTheme="majorHAnsi" w:hAnsiTheme="majorHAnsi" w:cs="Arial"/>
          <w:sz w:val="24"/>
          <w:szCs w:val="24"/>
        </w:rPr>
      </w:pPr>
    </w:p>
    <w:p w14:paraId="5AF3C7DB" w14:textId="77777777" w:rsidR="009842D1" w:rsidRDefault="009842D1" w:rsidP="00050E79">
      <w:pPr>
        <w:rPr>
          <w:rFonts w:asciiTheme="majorHAnsi" w:hAnsiTheme="majorHAnsi" w:cs="Arial"/>
          <w:sz w:val="24"/>
          <w:szCs w:val="24"/>
        </w:rPr>
      </w:pPr>
    </w:p>
    <w:p w14:paraId="554711AC" w14:textId="67A8874A" w:rsidR="009842D1" w:rsidRDefault="009842D1" w:rsidP="00050E79">
      <w:pPr>
        <w:rPr>
          <w:rFonts w:asciiTheme="majorHAnsi" w:hAnsiTheme="majorHAnsi" w:cs="Arial"/>
          <w:sz w:val="24"/>
          <w:szCs w:val="24"/>
        </w:rPr>
      </w:pPr>
    </w:p>
    <w:p w14:paraId="475B1EDD" w14:textId="41877C9C" w:rsidR="00071179" w:rsidRDefault="00071179" w:rsidP="00050E79">
      <w:pPr>
        <w:rPr>
          <w:rFonts w:asciiTheme="majorHAnsi" w:hAnsiTheme="majorHAnsi" w:cs="Arial"/>
          <w:sz w:val="24"/>
          <w:szCs w:val="24"/>
        </w:rPr>
      </w:pPr>
    </w:p>
    <w:p w14:paraId="05C43522" w14:textId="3EDEE9A5" w:rsidR="00071179" w:rsidRDefault="00071179" w:rsidP="003D18CF">
      <w:pPr>
        <w:jc w:val="center"/>
        <w:rPr>
          <w:rFonts w:asciiTheme="majorHAnsi" w:hAnsiTheme="majorHAnsi" w:cs="Arial"/>
          <w:sz w:val="24"/>
          <w:szCs w:val="24"/>
        </w:rPr>
      </w:pPr>
      <w:r>
        <w:rPr>
          <w:rFonts w:asciiTheme="majorHAnsi" w:hAnsiTheme="majorHAnsi" w:cs="Arial"/>
          <w:sz w:val="24"/>
          <w:szCs w:val="24"/>
        </w:rPr>
        <w:t>TABLE 7</w:t>
      </w:r>
      <w:r w:rsidR="00321D30">
        <w:rPr>
          <w:rFonts w:asciiTheme="majorHAnsi" w:hAnsiTheme="majorHAnsi" w:cs="Arial"/>
          <w:sz w:val="24"/>
          <w:szCs w:val="24"/>
        </w:rPr>
        <w:t>A</w:t>
      </w:r>
      <w:r>
        <w:rPr>
          <w:rFonts w:asciiTheme="majorHAnsi" w:hAnsiTheme="majorHAnsi" w:cs="Arial"/>
          <w:sz w:val="24"/>
          <w:szCs w:val="24"/>
        </w:rPr>
        <w:t xml:space="preserve"> – SFY 2019 QSPR PERFORMANCE BY COUNTY, AREAS 1 - 4</w:t>
      </w:r>
    </w:p>
    <w:p w14:paraId="2CCAA9D8" w14:textId="1321E391" w:rsidR="00071179" w:rsidRDefault="00071179" w:rsidP="003D18CF">
      <w:pPr>
        <w:rPr>
          <w:rFonts w:asciiTheme="majorHAnsi" w:hAnsiTheme="majorHAnsi" w:cs="Arial"/>
          <w:sz w:val="20"/>
          <w:szCs w:val="20"/>
        </w:rPr>
      </w:pPr>
      <w:r w:rsidRPr="00F27EEB">
        <w:rPr>
          <w:noProof/>
        </w:rPr>
        <w:drawing>
          <wp:inline distT="0" distB="0" distL="0" distR="0" wp14:anchorId="1623F3D7" wp14:editId="52A05FCA">
            <wp:extent cx="8229600" cy="3893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229600" cy="3893088"/>
                    </a:xfrm>
                    <a:prstGeom prst="rect">
                      <a:avLst/>
                    </a:prstGeom>
                  </pic:spPr>
                </pic:pic>
              </a:graphicData>
            </a:graphic>
          </wp:inline>
        </w:drawing>
      </w:r>
    </w:p>
    <w:p w14:paraId="7E6F72EF" w14:textId="0213EB57" w:rsidR="00071179" w:rsidRDefault="00071179" w:rsidP="003D18CF">
      <w:pPr>
        <w:rPr>
          <w:rFonts w:asciiTheme="majorHAnsi" w:hAnsiTheme="majorHAnsi" w:cs="Arial"/>
          <w:sz w:val="20"/>
          <w:szCs w:val="20"/>
        </w:rPr>
      </w:pPr>
    </w:p>
    <w:p w14:paraId="51382320" w14:textId="62ECD0C8" w:rsidR="00071179" w:rsidRDefault="00071179" w:rsidP="003D18CF">
      <w:pPr>
        <w:rPr>
          <w:rFonts w:asciiTheme="majorHAnsi" w:hAnsiTheme="majorHAnsi" w:cs="Arial"/>
          <w:sz w:val="20"/>
          <w:szCs w:val="20"/>
        </w:rPr>
      </w:pPr>
    </w:p>
    <w:p w14:paraId="32127A40" w14:textId="22462BAA" w:rsidR="00071179" w:rsidRDefault="00071179" w:rsidP="003D18CF">
      <w:pPr>
        <w:rPr>
          <w:rFonts w:asciiTheme="majorHAnsi" w:hAnsiTheme="majorHAnsi" w:cs="Arial"/>
          <w:sz w:val="20"/>
          <w:szCs w:val="20"/>
        </w:rPr>
      </w:pPr>
    </w:p>
    <w:p w14:paraId="7905EF4C" w14:textId="520D2327" w:rsidR="00071179" w:rsidRDefault="00071179" w:rsidP="003D18CF">
      <w:pPr>
        <w:rPr>
          <w:rFonts w:asciiTheme="majorHAnsi" w:hAnsiTheme="majorHAnsi" w:cs="Arial"/>
          <w:sz w:val="20"/>
          <w:szCs w:val="20"/>
        </w:rPr>
      </w:pPr>
    </w:p>
    <w:p w14:paraId="5D0A6257" w14:textId="4E4216FC" w:rsidR="00071179" w:rsidRDefault="00071179" w:rsidP="003D18CF">
      <w:pPr>
        <w:rPr>
          <w:rFonts w:asciiTheme="majorHAnsi" w:hAnsiTheme="majorHAnsi" w:cs="Arial"/>
          <w:sz w:val="20"/>
          <w:szCs w:val="20"/>
        </w:rPr>
      </w:pPr>
    </w:p>
    <w:p w14:paraId="5878982A" w14:textId="16E26628" w:rsidR="00071179" w:rsidRPr="003D18CF" w:rsidRDefault="00071179">
      <w:pPr>
        <w:jc w:val="center"/>
        <w:rPr>
          <w:rFonts w:asciiTheme="majorHAnsi" w:hAnsiTheme="majorHAnsi" w:cs="Arial"/>
          <w:sz w:val="24"/>
          <w:szCs w:val="24"/>
        </w:rPr>
      </w:pPr>
      <w:r w:rsidRPr="003D18CF">
        <w:rPr>
          <w:rFonts w:asciiTheme="majorHAnsi" w:hAnsiTheme="majorHAnsi" w:cs="Arial"/>
          <w:sz w:val="24"/>
          <w:szCs w:val="24"/>
        </w:rPr>
        <w:t>TABLE 7</w:t>
      </w:r>
      <w:r w:rsidR="00321D30">
        <w:rPr>
          <w:rFonts w:asciiTheme="majorHAnsi" w:hAnsiTheme="majorHAnsi" w:cs="Arial"/>
          <w:sz w:val="24"/>
          <w:szCs w:val="24"/>
        </w:rPr>
        <w:t>B</w:t>
      </w:r>
      <w:r w:rsidRPr="003D18CF">
        <w:rPr>
          <w:rFonts w:asciiTheme="majorHAnsi" w:hAnsiTheme="majorHAnsi" w:cs="Arial"/>
          <w:sz w:val="24"/>
          <w:szCs w:val="24"/>
        </w:rPr>
        <w:t xml:space="preserve"> – SFY 2019 QSPR PERFORMANCE BY COUNTY, AREAS 5 - 8</w:t>
      </w:r>
    </w:p>
    <w:p w14:paraId="23EF2877" w14:textId="793C82FE" w:rsidR="00071179" w:rsidRDefault="00071179" w:rsidP="003D18CF">
      <w:pPr>
        <w:rPr>
          <w:rFonts w:asciiTheme="majorHAnsi" w:hAnsiTheme="majorHAnsi" w:cs="Arial"/>
          <w:sz w:val="20"/>
          <w:szCs w:val="20"/>
        </w:rPr>
      </w:pPr>
      <w:r w:rsidRPr="000E43DC">
        <w:rPr>
          <w:noProof/>
        </w:rPr>
        <w:drawing>
          <wp:inline distT="0" distB="0" distL="0" distR="0" wp14:anchorId="217A3FB0" wp14:editId="104BB4CB">
            <wp:extent cx="8229600" cy="4250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250817"/>
                    </a:xfrm>
                    <a:prstGeom prst="rect">
                      <a:avLst/>
                    </a:prstGeom>
                    <a:noFill/>
                    <a:ln>
                      <a:noFill/>
                    </a:ln>
                  </pic:spPr>
                </pic:pic>
              </a:graphicData>
            </a:graphic>
          </wp:inline>
        </w:drawing>
      </w:r>
    </w:p>
    <w:p w14:paraId="04619794" w14:textId="24B30320" w:rsidR="00071179" w:rsidRDefault="00071179" w:rsidP="003D18CF">
      <w:pPr>
        <w:rPr>
          <w:rFonts w:asciiTheme="majorHAnsi" w:hAnsiTheme="majorHAnsi" w:cs="Arial"/>
          <w:sz w:val="20"/>
          <w:szCs w:val="20"/>
        </w:rPr>
      </w:pPr>
    </w:p>
    <w:p w14:paraId="028B9B93" w14:textId="7193CD7E" w:rsidR="00071179" w:rsidRDefault="00071179" w:rsidP="003D18CF">
      <w:pPr>
        <w:rPr>
          <w:rFonts w:asciiTheme="majorHAnsi" w:hAnsiTheme="majorHAnsi" w:cs="Arial"/>
          <w:sz w:val="20"/>
          <w:szCs w:val="20"/>
        </w:rPr>
      </w:pPr>
    </w:p>
    <w:p w14:paraId="23D379D9" w14:textId="2E3535DE" w:rsidR="00071179" w:rsidRDefault="00071179" w:rsidP="003D18CF">
      <w:pPr>
        <w:keepNext/>
        <w:jc w:val="center"/>
        <w:rPr>
          <w:rFonts w:asciiTheme="majorHAnsi" w:hAnsiTheme="majorHAnsi" w:cs="Arial"/>
          <w:sz w:val="24"/>
          <w:szCs w:val="24"/>
        </w:rPr>
      </w:pPr>
      <w:r>
        <w:rPr>
          <w:rFonts w:asciiTheme="majorHAnsi" w:hAnsiTheme="majorHAnsi" w:cs="Arial"/>
          <w:sz w:val="24"/>
          <w:szCs w:val="24"/>
        </w:rPr>
        <w:t>TABLE 7</w:t>
      </w:r>
      <w:r w:rsidR="00321D30">
        <w:rPr>
          <w:rFonts w:asciiTheme="majorHAnsi" w:hAnsiTheme="majorHAnsi" w:cs="Arial"/>
          <w:sz w:val="24"/>
          <w:szCs w:val="24"/>
        </w:rPr>
        <w:t>C</w:t>
      </w:r>
      <w:r>
        <w:rPr>
          <w:rFonts w:asciiTheme="majorHAnsi" w:hAnsiTheme="majorHAnsi" w:cs="Arial"/>
          <w:sz w:val="24"/>
          <w:szCs w:val="24"/>
        </w:rPr>
        <w:t xml:space="preserve"> – SFY 2019 QSPR PERFORMANCE BY COUNTY, AREAS 9 – 10</w:t>
      </w:r>
    </w:p>
    <w:p w14:paraId="4AD8EDC9" w14:textId="462F6AF1" w:rsidR="00071179" w:rsidRPr="003D18CF" w:rsidRDefault="006905CC" w:rsidP="003D18CF">
      <w:pPr>
        <w:keepNext/>
        <w:rPr>
          <w:rFonts w:asciiTheme="majorHAnsi" w:hAnsiTheme="majorHAnsi" w:cs="Arial"/>
          <w:sz w:val="24"/>
          <w:szCs w:val="24"/>
        </w:rPr>
      </w:pPr>
      <w:r w:rsidRPr="00FF3CB6">
        <w:rPr>
          <w:noProof/>
        </w:rPr>
        <w:drawing>
          <wp:inline distT="0" distB="0" distL="0" distR="0" wp14:anchorId="1B47980A" wp14:editId="24A07B38">
            <wp:extent cx="7267575" cy="535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67575" cy="5353050"/>
                    </a:xfrm>
                    <a:prstGeom prst="rect">
                      <a:avLst/>
                    </a:prstGeom>
                    <a:noFill/>
                    <a:ln>
                      <a:noFill/>
                    </a:ln>
                  </pic:spPr>
                </pic:pic>
              </a:graphicData>
            </a:graphic>
          </wp:inline>
        </w:drawing>
      </w:r>
    </w:p>
    <w:sectPr w:rsidR="00071179" w:rsidRPr="003D18CF" w:rsidSect="001020C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A16A" w14:textId="77777777" w:rsidR="00447AFC" w:rsidRDefault="00447AFC" w:rsidP="00890C72">
      <w:pPr>
        <w:spacing w:after="0" w:line="240" w:lineRule="auto"/>
      </w:pPr>
      <w:r>
        <w:separator/>
      </w:r>
    </w:p>
  </w:endnote>
  <w:endnote w:type="continuationSeparator" w:id="0">
    <w:p w14:paraId="28BD5F7B" w14:textId="77777777" w:rsidR="00447AFC" w:rsidRDefault="00447AFC" w:rsidP="0089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CF4D" w14:textId="3C64F265" w:rsidR="00D2636E" w:rsidRDefault="00D2636E">
    <w:pPr>
      <w:pStyle w:val="Footer"/>
      <w:jc w:val="center"/>
      <w:rPr>
        <w:rFonts w:asciiTheme="majorHAnsi" w:hAnsiTheme="majorHAnsi"/>
        <w:b/>
      </w:rPr>
    </w:pPr>
    <w:r w:rsidRPr="00534F0C">
      <w:rPr>
        <w:rFonts w:asciiTheme="majorHAnsi" w:hAnsiTheme="majorHAnsi"/>
      </w:rPr>
      <w:t xml:space="preserve">Page </w:t>
    </w:r>
    <w:r w:rsidRPr="00534F0C">
      <w:rPr>
        <w:rFonts w:asciiTheme="majorHAnsi" w:hAnsiTheme="majorHAnsi"/>
        <w:b/>
      </w:rPr>
      <w:fldChar w:fldCharType="begin"/>
    </w:r>
    <w:r w:rsidRPr="00534F0C">
      <w:rPr>
        <w:rFonts w:asciiTheme="majorHAnsi" w:hAnsiTheme="majorHAnsi"/>
        <w:b/>
      </w:rPr>
      <w:instrText xml:space="preserve"> PAGE </w:instrText>
    </w:r>
    <w:r w:rsidRPr="00534F0C">
      <w:rPr>
        <w:rFonts w:asciiTheme="majorHAnsi" w:hAnsiTheme="majorHAnsi"/>
        <w:b/>
      </w:rPr>
      <w:fldChar w:fldCharType="separate"/>
    </w:r>
    <w:r w:rsidR="003D18CF">
      <w:rPr>
        <w:rFonts w:asciiTheme="majorHAnsi" w:hAnsiTheme="majorHAnsi"/>
        <w:b/>
        <w:noProof/>
      </w:rPr>
      <w:t>25</w:t>
    </w:r>
    <w:r w:rsidRPr="00534F0C">
      <w:rPr>
        <w:rFonts w:asciiTheme="majorHAnsi" w:hAnsiTheme="majorHAnsi"/>
        <w:b/>
      </w:rPr>
      <w:fldChar w:fldCharType="end"/>
    </w:r>
    <w:r w:rsidRPr="00534F0C">
      <w:rPr>
        <w:rFonts w:asciiTheme="majorHAnsi" w:hAnsiTheme="majorHAnsi"/>
      </w:rPr>
      <w:t xml:space="preserve"> of</w:t>
    </w:r>
    <w:r>
      <w:rPr>
        <w:rFonts w:asciiTheme="majorHAnsi" w:hAnsiTheme="majorHAnsi"/>
      </w:rPr>
      <w:t xml:space="preserve"> </w:t>
    </w:r>
    <w:r>
      <w:rPr>
        <w:rFonts w:asciiTheme="majorHAnsi" w:hAnsiTheme="majorHAnsi"/>
        <w:b/>
      </w:rPr>
      <w:t>26</w:t>
    </w:r>
  </w:p>
  <w:p w14:paraId="2458BA87" w14:textId="77777777" w:rsidR="00D2636E" w:rsidRPr="00534F0C" w:rsidRDefault="00D2636E" w:rsidP="00822FF7">
    <w:pPr>
      <w:pStyle w:val="Footer"/>
      <w:rPr>
        <w:rFonts w:asciiTheme="majorHAnsi" w:hAnsiTheme="majorHAnsi"/>
      </w:rPr>
    </w:pPr>
  </w:p>
  <w:p w14:paraId="593C6C7A" w14:textId="77777777" w:rsidR="00D2636E" w:rsidRDefault="00D2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31A5A" w14:textId="77777777" w:rsidR="00447AFC" w:rsidRDefault="00447AFC" w:rsidP="00890C72">
      <w:pPr>
        <w:spacing w:after="0" w:line="240" w:lineRule="auto"/>
      </w:pPr>
      <w:r>
        <w:separator/>
      </w:r>
    </w:p>
  </w:footnote>
  <w:footnote w:type="continuationSeparator" w:id="0">
    <w:p w14:paraId="50D28C6B" w14:textId="77777777" w:rsidR="00447AFC" w:rsidRDefault="00447AFC" w:rsidP="00890C72">
      <w:pPr>
        <w:spacing w:after="0" w:line="240" w:lineRule="auto"/>
      </w:pPr>
      <w:r>
        <w:continuationSeparator/>
      </w:r>
    </w:p>
  </w:footnote>
  <w:footnote w:id="1">
    <w:p w14:paraId="3484118E" w14:textId="6047406D" w:rsidR="00D2636E" w:rsidRPr="00D75AEC" w:rsidRDefault="00D2636E">
      <w:pPr>
        <w:pStyle w:val="FootnoteText"/>
        <w:rPr>
          <w:rFonts w:ascii="Cambria" w:hAnsi="Cambria"/>
        </w:rPr>
      </w:pPr>
      <w:r w:rsidRPr="00D75AEC">
        <w:rPr>
          <w:rStyle w:val="FootnoteReference"/>
          <w:rFonts w:ascii="Cambria" w:hAnsi="Cambria"/>
        </w:rPr>
        <w:footnoteRef/>
      </w:r>
      <w:r w:rsidRPr="00D75AEC">
        <w:rPr>
          <w:rFonts w:ascii="Cambria" w:hAnsi="Cambria"/>
        </w:rPr>
        <w:t xml:space="preserve"> Because Item 1 is the only item for Safety Outcome 1 and Item 16 is the only item for Well-Being Outcome 2, the requirement of a 95 percent Strength rating applies to those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5228" w14:textId="41AFF756" w:rsidR="00D2636E" w:rsidRPr="00D90C23" w:rsidRDefault="00D2636E">
    <w:pPr>
      <w:pStyle w:val="Header"/>
      <w:rPr>
        <w:rFonts w:asciiTheme="majorHAnsi" w:hAnsiTheme="majorHAnsi"/>
        <w:color w:val="7F7F7F"/>
        <w:sz w:val="20"/>
        <w:szCs w:val="20"/>
      </w:rPr>
    </w:pPr>
    <w:r>
      <w:rPr>
        <w:rFonts w:asciiTheme="majorHAnsi" w:hAnsiTheme="majorHAnsi"/>
        <w:color w:val="7F7F7F"/>
        <w:sz w:val="20"/>
        <w:szCs w:val="20"/>
      </w:rPr>
      <w:t>SFY19</w:t>
    </w:r>
    <w:r w:rsidRPr="00D90C23">
      <w:rPr>
        <w:rFonts w:asciiTheme="majorHAnsi" w:hAnsiTheme="majorHAnsi"/>
        <w:color w:val="7F7F7F"/>
        <w:sz w:val="20"/>
        <w:szCs w:val="20"/>
      </w:rPr>
      <w:t xml:space="preserve"> Statewide QSPR Performance Report</w:t>
    </w:r>
    <w:r w:rsidRPr="00D90C23">
      <w:rPr>
        <w:rFonts w:asciiTheme="majorHAnsi" w:hAnsiTheme="majorHAnsi"/>
        <w:color w:val="7F7F7F"/>
        <w:sz w:val="20"/>
        <w:szCs w:val="20"/>
      </w:rPr>
      <w:tab/>
    </w:r>
    <w:r w:rsidRPr="00D90C23">
      <w:rPr>
        <w:rFonts w:asciiTheme="majorHAnsi" w:hAnsiTheme="majorHAnsi"/>
        <w:color w:val="7F7F7F"/>
        <w:sz w:val="20"/>
        <w:szCs w:val="20"/>
      </w:rPr>
      <w:tab/>
    </w:r>
    <w:r>
      <w:rPr>
        <w:rFonts w:asciiTheme="majorHAnsi" w:hAnsiTheme="majorHAnsi"/>
        <w:color w:val="7F7F7F"/>
        <w:sz w:val="20"/>
        <w:szCs w:val="20"/>
      </w:rPr>
      <w:t xml:space="preserve">December </w:t>
    </w:r>
    <w:r w:rsidRPr="00D90C23">
      <w:rPr>
        <w:rFonts w:asciiTheme="majorHAnsi" w:hAnsiTheme="majorHAnsi"/>
        <w:color w:val="7F7F7F"/>
        <w:sz w:val="20"/>
        <w:szCs w:val="20"/>
      </w:rPr>
      <w:t>201</w:t>
    </w:r>
    <w:r>
      <w:rPr>
        <w:rFonts w:asciiTheme="majorHAnsi" w:hAnsiTheme="majorHAnsi"/>
        <w:color w:val="7F7F7F"/>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D1F6" w14:textId="77777777" w:rsidR="00D2636E" w:rsidRDefault="00D2636E" w:rsidP="005F4BCE">
    <w:pPr>
      <w:pStyle w:val="Header"/>
      <w:tabs>
        <w:tab w:val="clear" w:pos="4680"/>
        <w:tab w:val="clear" w:pos="9360"/>
        <w:tab w:val="left" w:pos="332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72A"/>
    <w:multiLevelType w:val="hybridMultilevel"/>
    <w:tmpl w:val="6C64C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33B3"/>
    <w:multiLevelType w:val="hybridMultilevel"/>
    <w:tmpl w:val="2604C8EE"/>
    <w:lvl w:ilvl="0" w:tplc="A4889B16">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D7B0E"/>
    <w:multiLevelType w:val="hybridMultilevel"/>
    <w:tmpl w:val="123E1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A07572"/>
    <w:multiLevelType w:val="multilevel"/>
    <w:tmpl w:val="CF5C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62EA2"/>
    <w:multiLevelType w:val="hybridMultilevel"/>
    <w:tmpl w:val="FF144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255341"/>
    <w:multiLevelType w:val="hybridMultilevel"/>
    <w:tmpl w:val="503C5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B93"/>
    <w:multiLevelType w:val="hybridMultilevel"/>
    <w:tmpl w:val="582C06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C74BB"/>
    <w:multiLevelType w:val="hybridMultilevel"/>
    <w:tmpl w:val="DA5A6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351AA"/>
    <w:multiLevelType w:val="hybridMultilevel"/>
    <w:tmpl w:val="D750C0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D7CCE"/>
    <w:multiLevelType w:val="hybridMultilevel"/>
    <w:tmpl w:val="7CEE5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E7A57"/>
    <w:multiLevelType w:val="hybridMultilevel"/>
    <w:tmpl w:val="12D8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51DAC"/>
    <w:multiLevelType w:val="hybridMultilevel"/>
    <w:tmpl w:val="0EB48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D3DE5"/>
    <w:multiLevelType w:val="hybridMultilevel"/>
    <w:tmpl w:val="A03A7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
  </w:num>
  <w:num w:numId="6">
    <w:abstractNumId w:val="11"/>
  </w:num>
  <w:num w:numId="7">
    <w:abstractNumId w:val="6"/>
  </w:num>
  <w:num w:numId="8">
    <w:abstractNumId w:val="3"/>
  </w:num>
  <w:num w:numId="9">
    <w:abstractNumId w:val="4"/>
  </w:num>
  <w:num w:numId="10">
    <w:abstractNumId w:val="9"/>
  </w:num>
  <w:num w:numId="11">
    <w:abstractNumId w:val="8"/>
  </w:num>
  <w:num w:numId="12">
    <w:abstractNumId w:val="10"/>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5D"/>
    <w:rsid w:val="00000D7D"/>
    <w:rsid w:val="0000290B"/>
    <w:rsid w:val="00003B9B"/>
    <w:rsid w:val="00003F9B"/>
    <w:rsid w:val="00004542"/>
    <w:rsid w:val="000047B1"/>
    <w:rsid w:val="0001058F"/>
    <w:rsid w:val="00012FB2"/>
    <w:rsid w:val="00015C11"/>
    <w:rsid w:val="00017524"/>
    <w:rsid w:val="000201AA"/>
    <w:rsid w:val="00020ACB"/>
    <w:rsid w:val="00021791"/>
    <w:rsid w:val="00021F23"/>
    <w:rsid w:val="000268E6"/>
    <w:rsid w:val="000273F5"/>
    <w:rsid w:val="00027CAA"/>
    <w:rsid w:val="00027D3D"/>
    <w:rsid w:val="00030137"/>
    <w:rsid w:val="0003179E"/>
    <w:rsid w:val="000321A5"/>
    <w:rsid w:val="00032ADF"/>
    <w:rsid w:val="00035356"/>
    <w:rsid w:val="0003584D"/>
    <w:rsid w:val="000427BB"/>
    <w:rsid w:val="00043C80"/>
    <w:rsid w:val="000456E9"/>
    <w:rsid w:val="000459A9"/>
    <w:rsid w:val="000507C2"/>
    <w:rsid w:val="00050E79"/>
    <w:rsid w:val="00051A53"/>
    <w:rsid w:val="00051FE6"/>
    <w:rsid w:val="00052E16"/>
    <w:rsid w:val="00060979"/>
    <w:rsid w:val="000624F4"/>
    <w:rsid w:val="00066774"/>
    <w:rsid w:val="00066C99"/>
    <w:rsid w:val="00071179"/>
    <w:rsid w:val="0007206B"/>
    <w:rsid w:val="0007264B"/>
    <w:rsid w:val="000759F9"/>
    <w:rsid w:val="0007751E"/>
    <w:rsid w:val="0008070D"/>
    <w:rsid w:val="0008087D"/>
    <w:rsid w:val="00080EF6"/>
    <w:rsid w:val="00082865"/>
    <w:rsid w:val="000843FF"/>
    <w:rsid w:val="00085FB8"/>
    <w:rsid w:val="00085FDB"/>
    <w:rsid w:val="00092A86"/>
    <w:rsid w:val="0009367C"/>
    <w:rsid w:val="00095A54"/>
    <w:rsid w:val="0009702F"/>
    <w:rsid w:val="000A3DE7"/>
    <w:rsid w:val="000A7B6B"/>
    <w:rsid w:val="000B044A"/>
    <w:rsid w:val="000B49DA"/>
    <w:rsid w:val="000B5307"/>
    <w:rsid w:val="000B7646"/>
    <w:rsid w:val="000C1BC2"/>
    <w:rsid w:val="000C277A"/>
    <w:rsid w:val="000C2EEF"/>
    <w:rsid w:val="000C3864"/>
    <w:rsid w:val="000C447D"/>
    <w:rsid w:val="000C48C8"/>
    <w:rsid w:val="000C4E26"/>
    <w:rsid w:val="000C50C2"/>
    <w:rsid w:val="000D15A6"/>
    <w:rsid w:val="000D2968"/>
    <w:rsid w:val="000D370E"/>
    <w:rsid w:val="000D4BD9"/>
    <w:rsid w:val="000D4CAA"/>
    <w:rsid w:val="000D581A"/>
    <w:rsid w:val="000E07FA"/>
    <w:rsid w:val="000E1338"/>
    <w:rsid w:val="000E1DBE"/>
    <w:rsid w:val="000E28B8"/>
    <w:rsid w:val="000E4806"/>
    <w:rsid w:val="000E5883"/>
    <w:rsid w:val="000E7070"/>
    <w:rsid w:val="000F17FA"/>
    <w:rsid w:val="000F1884"/>
    <w:rsid w:val="000F1ABD"/>
    <w:rsid w:val="000F242F"/>
    <w:rsid w:val="000F2606"/>
    <w:rsid w:val="000F2F0D"/>
    <w:rsid w:val="000F30ED"/>
    <w:rsid w:val="000F3568"/>
    <w:rsid w:val="000F3C0D"/>
    <w:rsid w:val="000F44BC"/>
    <w:rsid w:val="000F4ECC"/>
    <w:rsid w:val="000F580B"/>
    <w:rsid w:val="000F6675"/>
    <w:rsid w:val="000F768C"/>
    <w:rsid w:val="00101874"/>
    <w:rsid w:val="001020C2"/>
    <w:rsid w:val="001068F9"/>
    <w:rsid w:val="0011067E"/>
    <w:rsid w:val="00111F7C"/>
    <w:rsid w:val="00112F32"/>
    <w:rsid w:val="00113407"/>
    <w:rsid w:val="00113AFC"/>
    <w:rsid w:val="00114F31"/>
    <w:rsid w:val="0012270B"/>
    <w:rsid w:val="00126AA9"/>
    <w:rsid w:val="00130E06"/>
    <w:rsid w:val="00131A48"/>
    <w:rsid w:val="00131AF5"/>
    <w:rsid w:val="00135045"/>
    <w:rsid w:val="00135ED0"/>
    <w:rsid w:val="00141367"/>
    <w:rsid w:val="00144D13"/>
    <w:rsid w:val="00147936"/>
    <w:rsid w:val="0015357B"/>
    <w:rsid w:val="00155AD3"/>
    <w:rsid w:val="001564F6"/>
    <w:rsid w:val="00157417"/>
    <w:rsid w:val="00161331"/>
    <w:rsid w:val="00162B28"/>
    <w:rsid w:val="00164112"/>
    <w:rsid w:val="0016433C"/>
    <w:rsid w:val="00165593"/>
    <w:rsid w:val="00165C7B"/>
    <w:rsid w:val="00166BFE"/>
    <w:rsid w:val="001671DA"/>
    <w:rsid w:val="00170D9F"/>
    <w:rsid w:val="00170ED5"/>
    <w:rsid w:val="00171854"/>
    <w:rsid w:val="00171AD4"/>
    <w:rsid w:val="00172BD9"/>
    <w:rsid w:val="0017400F"/>
    <w:rsid w:val="001740E9"/>
    <w:rsid w:val="0017457B"/>
    <w:rsid w:val="0017496F"/>
    <w:rsid w:val="001762AD"/>
    <w:rsid w:val="001845D3"/>
    <w:rsid w:val="00186786"/>
    <w:rsid w:val="001875EA"/>
    <w:rsid w:val="00191CE4"/>
    <w:rsid w:val="00193771"/>
    <w:rsid w:val="001A24A6"/>
    <w:rsid w:val="001A35C6"/>
    <w:rsid w:val="001A4FEE"/>
    <w:rsid w:val="001A6588"/>
    <w:rsid w:val="001A7DAD"/>
    <w:rsid w:val="001B038A"/>
    <w:rsid w:val="001B0CED"/>
    <w:rsid w:val="001B148B"/>
    <w:rsid w:val="001B20DF"/>
    <w:rsid w:val="001B279E"/>
    <w:rsid w:val="001B296B"/>
    <w:rsid w:val="001B2A69"/>
    <w:rsid w:val="001B3637"/>
    <w:rsid w:val="001B400E"/>
    <w:rsid w:val="001B4F29"/>
    <w:rsid w:val="001B5907"/>
    <w:rsid w:val="001B6624"/>
    <w:rsid w:val="001C0A4D"/>
    <w:rsid w:val="001C0BA3"/>
    <w:rsid w:val="001C36E2"/>
    <w:rsid w:val="001C3C40"/>
    <w:rsid w:val="001C4632"/>
    <w:rsid w:val="001C5734"/>
    <w:rsid w:val="001D032C"/>
    <w:rsid w:val="001D0D21"/>
    <w:rsid w:val="001D1F25"/>
    <w:rsid w:val="001D2109"/>
    <w:rsid w:val="001D2F61"/>
    <w:rsid w:val="001D3B08"/>
    <w:rsid w:val="001D3FD3"/>
    <w:rsid w:val="001D46FC"/>
    <w:rsid w:val="001D7D6A"/>
    <w:rsid w:val="001E0132"/>
    <w:rsid w:val="001E0D02"/>
    <w:rsid w:val="001E1F8F"/>
    <w:rsid w:val="001E2304"/>
    <w:rsid w:val="001E305C"/>
    <w:rsid w:val="001E3453"/>
    <w:rsid w:val="001E4796"/>
    <w:rsid w:val="001E561C"/>
    <w:rsid w:val="001E5E1D"/>
    <w:rsid w:val="001E7EA8"/>
    <w:rsid w:val="001F01B0"/>
    <w:rsid w:val="001F15B2"/>
    <w:rsid w:val="001F22DB"/>
    <w:rsid w:val="001F29C0"/>
    <w:rsid w:val="001F38C1"/>
    <w:rsid w:val="001F5FE1"/>
    <w:rsid w:val="00201795"/>
    <w:rsid w:val="00201F8C"/>
    <w:rsid w:val="0020410C"/>
    <w:rsid w:val="00205551"/>
    <w:rsid w:val="002058D9"/>
    <w:rsid w:val="00205FDB"/>
    <w:rsid w:val="0020711F"/>
    <w:rsid w:val="002134CA"/>
    <w:rsid w:val="0021421A"/>
    <w:rsid w:val="00214D39"/>
    <w:rsid w:val="00215F84"/>
    <w:rsid w:val="002164F1"/>
    <w:rsid w:val="00216AF1"/>
    <w:rsid w:val="002203F1"/>
    <w:rsid w:val="0022171E"/>
    <w:rsid w:val="00221DCC"/>
    <w:rsid w:val="0022236F"/>
    <w:rsid w:val="002225EC"/>
    <w:rsid w:val="00225B05"/>
    <w:rsid w:val="00225CBC"/>
    <w:rsid w:val="002305FA"/>
    <w:rsid w:val="0023116B"/>
    <w:rsid w:val="002314AD"/>
    <w:rsid w:val="002319EA"/>
    <w:rsid w:val="00231A6D"/>
    <w:rsid w:val="002330F9"/>
    <w:rsid w:val="00235B29"/>
    <w:rsid w:val="00236529"/>
    <w:rsid w:val="00236902"/>
    <w:rsid w:val="0023761E"/>
    <w:rsid w:val="002376A7"/>
    <w:rsid w:val="0023774B"/>
    <w:rsid w:val="00241BA3"/>
    <w:rsid w:val="00242AEC"/>
    <w:rsid w:val="00244870"/>
    <w:rsid w:val="002453AE"/>
    <w:rsid w:val="002469CF"/>
    <w:rsid w:val="00247D0E"/>
    <w:rsid w:val="0025067E"/>
    <w:rsid w:val="00252C10"/>
    <w:rsid w:val="0025764A"/>
    <w:rsid w:val="00263B98"/>
    <w:rsid w:val="002641E2"/>
    <w:rsid w:val="00266F6A"/>
    <w:rsid w:val="00267426"/>
    <w:rsid w:val="002713F8"/>
    <w:rsid w:val="00272007"/>
    <w:rsid w:val="002730D7"/>
    <w:rsid w:val="00273B43"/>
    <w:rsid w:val="0027436C"/>
    <w:rsid w:val="00277BC2"/>
    <w:rsid w:val="00282C3E"/>
    <w:rsid w:val="00283050"/>
    <w:rsid w:val="002839CE"/>
    <w:rsid w:val="00284837"/>
    <w:rsid w:val="002870C0"/>
    <w:rsid w:val="002918D8"/>
    <w:rsid w:val="0029216A"/>
    <w:rsid w:val="00293C1B"/>
    <w:rsid w:val="00296B4A"/>
    <w:rsid w:val="002A044D"/>
    <w:rsid w:val="002A195E"/>
    <w:rsid w:val="002A3B54"/>
    <w:rsid w:val="002A50B0"/>
    <w:rsid w:val="002A6A72"/>
    <w:rsid w:val="002A7328"/>
    <w:rsid w:val="002A754A"/>
    <w:rsid w:val="002B02DB"/>
    <w:rsid w:val="002B23CB"/>
    <w:rsid w:val="002B33D7"/>
    <w:rsid w:val="002B34C4"/>
    <w:rsid w:val="002B3B4B"/>
    <w:rsid w:val="002B5531"/>
    <w:rsid w:val="002B6185"/>
    <w:rsid w:val="002B6B4C"/>
    <w:rsid w:val="002B6F29"/>
    <w:rsid w:val="002B747F"/>
    <w:rsid w:val="002B768C"/>
    <w:rsid w:val="002C2237"/>
    <w:rsid w:val="002C25B2"/>
    <w:rsid w:val="002C3267"/>
    <w:rsid w:val="002D02FA"/>
    <w:rsid w:val="002E152F"/>
    <w:rsid w:val="002E4C6A"/>
    <w:rsid w:val="002E6462"/>
    <w:rsid w:val="002E7CEB"/>
    <w:rsid w:val="002F62AF"/>
    <w:rsid w:val="002F660C"/>
    <w:rsid w:val="002F6755"/>
    <w:rsid w:val="002F776E"/>
    <w:rsid w:val="00301539"/>
    <w:rsid w:val="003020AD"/>
    <w:rsid w:val="0030447A"/>
    <w:rsid w:val="00304883"/>
    <w:rsid w:val="00305576"/>
    <w:rsid w:val="00305A49"/>
    <w:rsid w:val="00305DA7"/>
    <w:rsid w:val="00307EFA"/>
    <w:rsid w:val="003103FD"/>
    <w:rsid w:val="00311416"/>
    <w:rsid w:val="0031511E"/>
    <w:rsid w:val="00320688"/>
    <w:rsid w:val="00320DAA"/>
    <w:rsid w:val="00321232"/>
    <w:rsid w:val="00321D30"/>
    <w:rsid w:val="00322BA9"/>
    <w:rsid w:val="0032337C"/>
    <w:rsid w:val="0032372C"/>
    <w:rsid w:val="0032435B"/>
    <w:rsid w:val="003309A9"/>
    <w:rsid w:val="00330EE8"/>
    <w:rsid w:val="003313CE"/>
    <w:rsid w:val="0033300F"/>
    <w:rsid w:val="0033799F"/>
    <w:rsid w:val="00340118"/>
    <w:rsid w:val="00340D2B"/>
    <w:rsid w:val="00345F71"/>
    <w:rsid w:val="00347924"/>
    <w:rsid w:val="00350DA1"/>
    <w:rsid w:val="00353515"/>
    <w:rsid w:val="00356116"/>
    <w:rsid w:val="00356CF4"/>
    <w:rsid w:val="003571F6"/>
    <w:rsid w:val="003572B0"/>
    <w:rsid w:val="00357641"/>
    <w:rsid w:val="003610D7"/>
    <w:rsid w:val="003619FB"/>
    <w:rsid w:val="003638B3"/>
    <w:rsid w:val="00363A1F"/>
    <w:rsid w:val="00367DC5"/>
    <w:rsid w:val="0037332B"/>
    <w:rsid w:val="00374884"/>
    <w:rsid w:val="0037504E"/>
    <w:rsid w:val="003769F2"/>
    <w:rsid w:val="00381497"/>
    <w:rsid w:val="003815D3"/>
    <w:rsid w:val="00381600"/>
    <w:rsid w:val="00381827"/>
    <w:rsid w:val="00382523"/>
    <w:rsid w:val="003825B3"/>
    <w:rsid w:val="00382EDF"/>
    <w:rsid w:val="00382F5D"/>
    <w:rsid w:val="00383E35"/>
    <w:rsid w:val="00384FE3"/>
    <w:rsid w:val="003852C3"/>
    <w:rsid w:val="00387A3B"/>
    <w:rsid w:val="00387CD5"/>
    <w:rsid w:val="00387DD8"/>
    <w:rsid w:val="00392A2D"/>
    <w:rsid w:val="0039568B"/>
    <w:rsid w:val="003A0653"/>
    <w:rsid w:val="003A44AD"/>
    <w:rsid w:val="003A46EC"/>
    <w:rsid w:val="003A549A"/>
    <w:rsid w:val="003A5AC6"/>
    <w:rsid w:val="003A6D86"/>
    <w:rsid w:val="003A7BEA"/>
    <w:rsid w:val="003B1CCC"/>
    <w:rsid w:val="003B2BA6"/>
    <w:rsid w:val="003B39E6"/>
    <w:rsid w:val="003B6346"/>
    <w:rsid w:val="003B70AC"/>
    <w:rsid w:val="003B7CD2"/>
    <w:rsid w:val="003C50E7"/>
    <w:rsid w:val="003D18CF"/>
    <w:rsid w:val="003D1CCB"/>
    <w:rsid w:val="003D2F54"/>
    <w:rsid w:val="003D30BD"/>
    <w:rsid w:val="003D5C8D"/>
    <w:rsid w:val="003E1A48"/>
    <w:rsid w:val="003E2232"/>
    <w:rsid w:val="003E31BB"/>
    <w:rsid w:val="003E446F"/>
    <w:rsid w:val="003E5B64"/>
    <w:rsid w:val="003E637C"/>
    <w:rsid w:val="003E64D7"/>
    <w:rsid w:val="003E66CD"/>
    <w:rsid w:val="003E7616"/>
    <w:rsid w:val="003F05F4"/>
    <w:rsid w:val="003F1075"/>
    <w:rsid w:val="003F3469"/>
    <w:rsid w:val="003F3CFF"/>
    <w:rsid w:val="003F42CE"/>
    <w:rsid w:val="003F4D6E"/>
    <w:rsid w:val="003F63FA"/>
    <w:rsid w:val="003F7C92"/>
    <w:rsid w:val="00402703"/>
    <w:rsid w:val="004039BA"/>
    <w:rsid w:val="00403A2B"/>
    <w:rsid w:val="004065C7"/>
    <w:rsid w:val="00406E3D"/>
    <w:rsid w:val="0040746A"/>
    <w:rsid w:val="0040797A"/>
    <w:rsid w:val="00410902"/>
    <w:rsid w:val="00411668"/>
    <w:rsid w:val="00411F65"/>
    <w:rsid w:val="0041336D"/>
    <w:rsid w:val="00413FB8"/>
    <w:rsid w:val="0041584B"/>
    <w:rsid w:val="00415FA8"/>
    <w:rsid w:val="00417196"/>
    <w:rsid w:val="00420A41"/>
    <w:rsid w:val="00421249"/>
    <w:rsid w:val="00426C12"/>
    <w:rsid w:val="00430723"/>
    <w:rsid w:val="004323A6"/>
    <w:rsid w:val="00434BA0"/>
    <w:rsid w:val="004414DD"/>
    <w:rsid w:val="00441E95"/>
    <w:rsid w:val="00443DBD"/>
    <w:rsid w:val="004471EF"/>
    <w:rsid w:val="0044742A"/>
    <w:rsid w:val="00447AFC"/>
    <w:rsid w:val="0045081A"/>
    <w:rsid w:val="00452674"/>
    <w:rsid w:val="0045504E"/>
    <w:rsid w:val="0045568F"/>
    <w:rsid w:val="00456E64"/>
    <w:rsid w:val="00460234"/>
    <w:rsid w:val="004605DB"/>
    <w:rsid w:val="00461E1B"/>
    <w:rsid w:val="00461FEF"/>
    <w:rsid w:val="004641C4"/>
    <w:rsid w:val="00465043"/>
    <w:rsid w:val="004651DD"/>
    <w:rsid w:val="0046649E"/>
    <w:rsid w:val="004701AC"/>
    <w:rsid w:val="00471CB1"/>
    <w:rsid w:val="00472627"/>
    <w:rsid w:val="00474B82"/>
    <w:rsid w:val="00475FB0"/>
    <w:rsid w:val="00477E48"/>
    <w:rsid w:val="00477F80"/>
    <w:rsid w:val="004804B1"/>
    <w:rsid w:val="00481854"/>
    <w:rsid w:val="0048190C"/>
    <w:rsid w:val="004827B5"/>
    <w:rsid w:val="004848B9"/>
    <w:rsid w:val="00486FCF"/>
    <w:rsid w:val="004907C7"/>
    <w:rsid w:val="004922F2"/>
    <w:rsid w:val="00493000"/>
    <w:rsid w:val="00495C41"/>
    <w:rsid w:val="00496EC6"/>
    <w:rsid w:val="004A1BA3"/>
    <w:rsid w:val="004A236B"/>
    <w:rsid w:val="004A47D0"/>
    <w:rsid w:val="004A5FD6"/>
    <w:rsid w:val="004B00C6"/>
    <w:rsid w:val="004B08D1"/>
    <w:rsid w:val="004B13D2"/>
    <w:rsid w:val="004B1B2D"/>
    <w:rsid w:val="004B2351"/>
    <w:rsid w:val="004B3EC2"/>
    <w:rsid w:val="004B4AEF"/>
    <w:rsid w:val="004B6C94"/>
    <w:rsid w:val="004C10C4"/>
    <w:rsid w:val="004C1104"/>
    <w:rsid w:val="004C1260"/>
    <w:rsid w:val="004C13F4"/>
    <w:rsid w:val="004C1B0B"/>
    <w:rsid w:val="004C1EC4"/>
    <w:rsid w:val="004C2F3E"/>
    <w:rsid w:val="004C68C4"/>
    <w:rsid w:val="004C7EC3"/>
    <w:rsid w:val="004D0BC8"/>
    <w:rsid w:val="004D281C"/>
    <w:rsid w:val="004D28F0"/>
    <w:rsid w:val="004D3B77"/>
    <w:rsid w:val="004D7C99"/>
    <w:rsid w:val="004E13AF"/>
    <w:rsid w:val="004E20A0"/>
    <w:rsid w:val="004E23B7"/>
    <w:rsid w:val="004E271C"/>
    <w:rsid w:val="004E28C2"/>
    <w:rsid w:val="004E6789"/>
    <w:rsid w:val="004F2117"/>
    <w:rsid w:val="004F2C57"/>
    <w:rsid w:val="004F2E86"/>
    <w:rsid w:val="004F3BC7"/>
    <w:rsid w:val="004F6673"/>
    <w:rsid w:val="004F6CF1"/>
    <w:rsid w:val="004F71BC"/>
    <w:rsid w:val="0050094D"/>
    <w:rsid w:val="00502ABF"/>
    <w:rsid w:val="00507C25"/>
    <w:rsid w:val="00507D22"/>
    <w:rsid w:val="00507DDA"/>
    <w:rsid w:val="00510907"/>
    <w:rsid w:val="0051379A"/>
    <w:rsid w:val="00513A09"/>
    <w:rsid w:val="00513D72"/>
    <w:rsid w:val="005140CF"/>
    <w:rsid w:val="00514EEB"/>
    <w:rsid w:val="005153B4"/>
    <w:rsid w:val="0051659C"/>
    <w:rsid w:val="005176E7"/>
    <w:rsid w:val="00517961"/>
    <w:rsid w:val="00520A9A"/>
    <w:rsid w:val="005226E4"/>
    <w:rsid w:val="00522762"/>
    <w:rsid w:val="005227B2"/>
    <w:rsid w:val="00523562"/>
    <w:rsid w:val="005256E7"/>
    <w:rsid w:val="00527357"/>
    <w:rsid w:val="00527D41"/>
    <w:rsid w:val="00531197"/>
    <w:rsid w:val="0053228C"/>
    <w:rsid w:val="005322D8"/>
    <w:rsid w:val="00532B1F"/>
    <w:rsid w:val="00534077"/>
    <w:rsid w:val="0053426A"/>
    <w:rsid w:val="00534F0C"/>
    <w:rsid w:val="0053649B"/>
    <w:rsid w:val="00536BC7"/>
    <w:rsid w:val="005402D6"/>
    <w:rsid w:val="00541442"/>
    <w:rsid w:val="00541D13"/>
    <w:rsid w:val="0054777A"/>
    <w:rsid w:val="0055117E"/>
    <w:rsid w:val="005513A2"/>
    <w:rsid w:val="00551B5B"/>
    <w:rsid w:val="00552255"/>
    <w:rsid w:val="005547D1"/>
    <w:rsid w:val="005550CA"/>
    <w:rsid w:val="00555197"/>
    <w:rsid w:val="00555512"/>
    <w:rsid w:val="00557202"/>
    <w:rsid w:val="00561F9B"/>
    <w:rsid w:val="00565026"/>
    <w:rsid w:val="0056571C"/>
    <w:rsid w:val="00565E46"/>
    <w:rsid w:val="00565F8D"/>
    <w:rsid w:val="00566844"/>
    <w:rsid w:val="00571B85"/>
    <w:rsid w:val="0057230C"/>
    <w:rsid w:val="0057570C"/>
    <w:rsid w:val="00581E2E"/>
    <w:rsid w:val="00581FC1"/>
    <w:rsid w:val="0058217C"/>
    <w:rsid w:val="005825AD"/>
    <w:rsid w:val="005827D6"/>
    <w:rsid w:val="00584816"/>
    <w:rsid w:val="00585699"/>
    <w:rsid w:val="0059109F"/>
    <w:rsid w:val="00593B38"/>
    <w:rsid w:val="00594359"/>
    <w:rsid w:val="00594FA1"/>
    <w:rsid w:val="0059531C"/>
    <w:rsid w:val="0059558D"/>
    <w:rsid w:val="0059579F"/>
    <w:rsid w:val="00596857"/>
    <w:rsid w:val="005A1A8F"/>
    <w:rsid w:val="005A1D81"/>
    <w:rsid w:val="005A21E1"/>
    <w:rsid w:val="005A30FE"/>
    <w:rsid w:val="005A3769"/>
    <w:rsid w:val="005A417C"/>
    <w:rsid w:val="005A6AD0"/>
    <w:rsid w:val="005B501E"/>
    <w:rsid w:val="005B5712"/>
    <w:rsid w:val="005B5DE7"/>
    <w:rsid w:val="005C3C50"/>
    <w:rsid w:val="005C40E0"/>
    <w:rsid w:val="005C4A5A"/>
    <w:rsid w:val="005C756A"/>
    <w:rsid w:val="005D26A7"/>
    <w:rsid w:val="005D3D0A"/>
    <w:rsid w:val="005D55FB"/>
    <w:rsid w:val="005D5F17"/>
    <w:rsid w:val="005D6E47"/>
    <w:rsid w:val="005E00B0"/>
    <w:rsid w:val="005E1323"/>
    <w:rsid w:val="005E26C0"/>
    <w:rsid w:val="005E557B"/>
    <w:rsid w:val="005E62A5"/>
    <w:rsid w:val="005F05FD"/>
    <w:rsid w:val="005F100F"/>
    <w:rsid w:val="005F1232"/>
    <w:rsid w:val="005F24C3"/>
    <w:rsid w:val="005F342E"/>
    <w:rsid w:val="005F40F4"/>
    <w:rsid w:val="005F4BCE"/>
    <w:rsid w:val="005F5C8B"/>
    <w:rsid w:val="005F7646"/>
    <w:rsid w:val="005F7D87"/>
    <w:rsid w:val="0060208C"/>
    <w:rsid w:val="00604DEF"/>
    <w:rsid w:val="00605EA4"/>
    <w:rsid w:val="00605FB1"/>
    <w:rsid w:val="0060683C"/>
    <w:rsid w:val="00606B94"/>
    <w:rsid w:val="006166BC"/>
    <w:rsid w:val="00625C73"/>
    <w:rsid w:val="006279A5"/>
    <w:rsid w:val="00630993"/>
    <w:rsid w:val="006330D5"/>
    <w:rsid w:val="00636355"/>
    <w:rsid w:val="00636EE5"/>
    <w:rsid w:val="0063722E"/>
    <w:rsid w:val="00640361"/>
    <w:rsid w:val="00640386"/>
    <w:rsid w:val="006411E9"/>
    <w:rsid w:val="0064179F"/>
    <w:rsid w:val="006433FF"/>
    <w:rsid w:val="0064701F"/>
    <w:rsid w:val="006504D2"/>
    <w:rsid w:val="00650AF3"/>
    <w:rsid w:val="00651DFC"/>
    <w:rsid w:val="00652320"/>
    <w:rsid w:val="00654581"/>
    <w:rsid w:val="00654F9C"/>
    <w:rsid w:val="006553D5"/>
    <w:rsid w:val="00655CF2"/>
    <w:rsid w:val="006578F2"/>
    <w:rsid w:val="006615FC"/>
    <w:rsid w:val="0066163B"/>
    <w:rsid w:val="0066246E"/>
    <w:rsid w:val="006635D0"/>
    <w:rsid w:val="006645B6"/>
    <w:rsid w:val="0066532F"/>
    <w:rsid w:val="00666E77"/>
    <w:rsid w:val="00672112"/>
    <w:rsid w:val="00673562"/>
    <w:rsid w:val="00673785"/>
    <w:rsid w:val="00673ACD"/>
    <w:rsid w:val="00673E13"/>
    <w:rsid w:val="00675785"/>
    <w:rsid w:val="0067680B"/>
    <w:rsid w:val="006776AE"/>
    <w:rsid w:val="006823E8"/>
    <w:rsid w:val="006835A5"/>
    <w:rsid w:val="006852BC"/>
    <w:rsid w:val="006852C5"/>
    <w:rsid w:val="00685F65"/>
    <w:rsid w:val="00687C3C"/>
    <w:rsid w:val="006905CC"/>
    <w:rsid w:val="006913FF"/>
    <w:rsid w:val="00692716"/>
    <w:rsid w:val="00692E71"/>
    <w:rsid w:val="00693CDC"/>
    <w:rsid w:val="00694790"/>
    <w:rsid w:val="0069548A"/>
    <w:rsid w:val="006A2A76"/>
    <w:rsid w:val="006A36A1"/>
    <w:rsid w:val="006A7379"/>
    <w:rsid w:val="006B211D"/>
    <w:rsid w:val="006B5EFD"/>
    <w:rsid w:val="006B6290"/>
    <w:rsid w:val="006C18C2"/>
    <w:rsid w:val="006C1BA6"/>
    <w:rsid w:val="006C21D6"/>
    <w:rsid w:val="006C21E3"/>
    <w:rsid w:val="006C2D18"/>
    <w:rsid w:val="006C2FCB"/>
    <w:rsid w:val="006D0437"/>
    <w:rsid w:val="006D152C"/>
    <w:rsid w:val="006D1970"/>
    <w:rsid w:val="006D2B7F"/>
    <w:rsid w:val="006D44D6"/>
    <w:rsid w:val="006D6E48"/>
    <w:rsid w:val="006E03C7"/>
    <w:rsid w:val="006E0A56"/>
    <w:rsid w:val="006E1E5D"/>
    <w:rsid w:val="006E324C"/>
    <w:rsid w:val="006E3C42"/>
    <w:rsid w:val="006E41D9"/>
    <w:rsid w:val="006E5062"/>
    <w:rsid w:val="006F0E5E"/>
    <w:rsid w:val="006F1272"/>
    <w:rsid w:val="006F1E4B"/>
    <w:rsid w:val="006F470F"/>
    <w:rsid w:val="006F4F45"/>
    <w:rsid w:val="0070075E"/>
    <w:rsid w:val="0070412D"/>
    <w:rsid w:val="0070473B"/>
    <w:rsid w:val="00706CE7"/>
    <w:rsid w:val="007110A1"/>
    <w:rsid w:val="007111B6"/>
    <w:rsid w:val="0071156E"/>
    <w:rsid w:val="00712E42"/>
    <w:rsid w:val="00712FF6"/>
    <w:rsid w:val="007150FB"/>
    <w:rsid w:val="00715DFA"/>
    <w:rsid w:val="00716A1E"/>
    <w:rsid w:val="00722037"/>
    <w:rsid w:val="0072236A"/>
    <w:rsid w:val="007246F2"/>
    <w:rsid w:val="00724B04"/>
    <w:rsid w:val="00725817"/>
    <w:rsid w:val="00730F72"/>
    <w:rsid w:val="00732FFC"/>
    <w:rsid w:val="00735E37"/>
    <w:rsid w:val="00741AD2"/>
    <w:rsid w:val="0074445B"/>
    <w:rsid w:val="00746B95"/>
    <w:rsid w:val="00750034"/>
    <w:rsid w:val="007524F9"/>
    <w:rsid w:val="0075321C"/>
    <w:rsid w:val="00753547"/>
    <w:rsid w:val="00755BED"/>
    <w:rsid w:val="00756123"/>
    <w:rsid w:val="00756B3A"/>
    <w:rsid w:val="0075764D"/>
    <w:rsid w:val="00762A16"/>
    <w:rsid w:val="00764277"/>
    <w:rsid w:val="00764723"/>
    <w:rsid w:val="00766D3C"/>
    <w:rsid w:val="0076766C"/>
    <w:rsid w:val="00767D8A"/>
    <w:rsid w:val="00770714"/>
    <w:rsid w:val="007723BB"/>
    <w:rsid w:val="00773146"/>
    <w:rsid w:val="007737BE"/>
    <w:rsid w:val="00780FF6"/>
    <w:rsid w:val="007812B6"/>
    <w:rsid w:val="00781B31"/>
    <w:rsid w:val="00786D1F"/>
    <w:rsid w:val="00790F1D"/>
    <w:rsid w:val="00791647"/>
    <w:rsid w:val="0079584F"/>
    <w:rsid w:val="007979C0"/>
    <w:rsid w:val="007A3B5D"/>
    <w:rsid w:val="007A4416"/>
    <w:rsid w:val="007A45DC"/>
    <w:rsid w:val="007A5799"/>
    <w:rsid w:val="007B49BA"/>
    <w:rsid w:val="007B5852"/>
    <w:rsid w:val="007C0A62"/>
    <w:rsid w:val="007C2040"/>
    <w:rsid w:val="007C207C"/>
    <w:rsid w:val="007C383B"/>
    <w:rsid w:val="007C4AEE"/>
    <w:rsid w:val="007D135B"/>
    <w:rsid w:val="007D146E"/>
    <w:rsid w:val="007D1EB4"/>
    <w:rsid w:val="007D1F65"/>
    <w:rsid w:val="007D3612"/>
    <w:rsid w:val="007D766E"/>
    <w:rsid w:val="007D7CC8"/>
    <w:rsid w:val="007E02DD"/>
    <w:rsid w:val="007E040B"/>
    <w:rsid w:val="007E17A2"/>
    <w:rsid w:val="007E1AA6"/>
    <w:rsid w:val="007E1E85"/>
    <w:rsid w:val="007E22EE"/>
    <w:rsid w:val="007E28C9"/>
    <w:rsid w:val="007E2967"/>
    <w:rsid w:val="007E437A"/>
    <w:rsid w:val="007E471D"/>
    <w:rsid w:val="007E48B2"/>
    <w:rsid w:val="007E69EA"/>
    <w:rsid w:val="007F0442"/>
    <w:rsid w:val="007F19BF"/>
    <w:rsid w:val="007F3D91"/>
    <w:rsid w:val="007F5DB4"/>
    <w:rsid w:val="007F66FB"/>
    <w:rsid w:val="007F6979"/>
    <w:rsid w:val="007F6D8F"/>
    <w:rsid w:val="007F731E"/>
    <w:rsid w:val="007F753B"/>
    <w:rsid w:val="00801795"/>
    <w:rsid w:val="008017CA"/>
    <w:rsid w:val="008040DB"/>
    <w:rsid w:val="00806185"/>
    <w:rsid w:val="00810249"/>
    <w:rsid w:val="008127EA"/>
    <w:rsid w:val="00813332"/>
    <w:rsid w:val="008150A4"/>
    <w:rsid w:val="00815385"/>
    <w:rsid w:val="0081599C"/>
    <w:rsid w:val="00816542"/>
    <w:rsid w:val="00817927"/>
    <w:rsid w:val="00821F86"/>
    <w:rsid w:val="00822FF7"/>
    <w:rsid w:val="008234BE"/>
    <w:rsid w:val="008249C0"/>
    <w:rsid w:val="00827062"/>
    <w:rsid w:val="008271DE"/>
    <w:rsid w:val="0083012B"/>
    <w:rsid w:val="008308FD"/>
    <w:rsid w:val="00830E08"/>
    <w:rsid w:val="0083186B"/>
    <w:rsid w:val="008339C5"/>
    <w:rsid w:val="00834A1C"/>
    <w:rsid w:val="00834E7F"/>
    <w:rsid w:val="00835129"/>
    <w:rsid w:val="00840A45"/>
    <w:rsid w:val="00840EE1"/>
    <w:rsid w:val="00841DB7"/>
    <w:rsid w:val="0084307F"/>
    <w:rsid w:val="00850EC0"/>
    <w:rsid w:val="00851BE0"/>
    <w:rsid w:val="00853DC9"/>
    <w:rsid w:val="0085703C"/>
    <w:rsid w:val="008577DC"/>
    <w:rsid w:val="00860E74"/>
    <w:rsid w:val="00861B5B"/>
    <w:rsid w:val="00865EF3"/>
    <w:rsid w:val="008660C6"/>
    <w:rsid w:val="00871129"/>
    <w:rsid w:val="008712F5"/>
    <w:rsid w:val="00873844"/>
    <w:rsid w:val="00874722"/>
    <w:rsid w:val="00875094"/>
    <w:rsid w:val="008763ED"/>
    <w:rsid w:val="008765EA"/>
    <w:rsid w:val="00876EC1"/>
    <w:rsid w:val="00876F1D"/>
    <w:rsid w:val="00880FD1"/>
    <w:rsid w:val="00882F3D"/>
    <w:rsid w:val="00883321"/>
    <w:rsid w:val="00884A8A"/>
    <w:rsid w:val="00887B05"/>
    <w:rsid w:val="00890C72"/>
    <w:rsid w:val="008923A2"/>
    <w:rsid w:val="00895C8B"/>
    <w:rsid w:val="00896670"/>
    <w:rsid w:val="008A25BC"/>
    <w:rsid w:val="008A3323"/>
    <w:rsid w:val="008A36C7"/>
    <w:rsid w:val="008A4668"/>
    <w:rsid w:val="008B0232"/>
    <w:rsid w:val="008B2E8B"/>
    <w:rsid w:val="008B4076"/>
    <w:rsid w:val="008B5984"/>
    <w:rsid w:val="008B66E5"/>
    <w:rsid w:val="008B7133"/>
    <w:rsid w:val="008C2FE1"/>
    <w:rsid w:val="008C3287"/>
    <w:rsid w:val="008C4742"/>
    <w:rsid w:val="008C57F8"/>
    <w:rsid w:val="008C7C65"/>
    <w:rsid w:val="008C7D64"/>
    <w:rsid w:val="008C7FD7"/>
    <w:rsid w:val="008D043C"/>
    <w:rsid w:val="008D304D"/>
    <w:rsid w:val="008D3A62"/>
    <w:rsid w:val="008D3BDE"/>
    <w:rsid w:val="008D708D"/>
    <w:rsid w:val="008E2934"/>
    <w:rsid w:val="008E47F9"/>
    <w:rsid w:val="008E5CFC"/>
    <w:rsid w:val="008F1E0F"/>
    <w:rsid w:val="008F284D"/>
    <w:rsid w:val="008F5026"/>
    <w:rsid w:val="008F7826"/>
    <w:rsid w:val="00901772"/>
    <w:rsid w:val="009025B5"/>
    <w:rsid w:val="00903DB3"/>
    <w:rsid w:val="00904079"/>
    <w:rsid w:val="00907234"/>
    <w:rsid w:val="00910211"/>
    <w:rsid w:val="00911551"/>
    <w:rsid w:val="0091509A"/>
    <w:rsid w:val="00917572"/>
    <w:rsid w:val="009206EC"/>
    <w:rsid w:val="00921E56"/>
    <w:rsid w:val="00922168"/>
    <w:rsid w:val="0092264E"/>
    <w:rsid w:val="00922A4A"/>
    <w:rsid w:val="009279CE"/>
    <w:rsid w:val="00930EF4"/>
    <w:rsid w:val="00931FB5"/>
    <w:rsid w:val="00932123"/>
    <w:rsid w:val="00932FA3"/>
    <w:rsid w:val="00933CD2"/>
    <w:rsid w:val="00933D73"/>
    <w:rsid w:val="00933E19"/>
    <w:rsid w:val="00934946"/>
    <w:rsid w:val="00935646"/>
    <w:rsid w:val="00935C90"/>
    <w:rsid w:val="00936814"/>
    <w:rsid w:val="009408A5"/>
    <w:rsid w:val="00943102"/>
    <w:rsid w:val="009443EF"/>
    <w:rsid w:val="00944FEE"/>
    <w:rsid w:val="0094593F"/>
    <w:rsid w:val="009537C3"/>
    <w:rsid w:val="00955868"/>
    <w:rsid w:val="009561A2"/>
    <w:rsid w:val="00964874"/>
    <w:rsid w:val="0096570B"/>
    <w:rsid w:val="00967651"/>
    <w:rsid w:val="00967803"/>
    <w:rsid w:val="00970590"/>
    <w:rsid w:val="00970D1B"/>
    <w:rsid w:val="009737BB"/>
    <w:rsid w:val="00973E27"/>
    <w:rsid w:val="0097516D"/>
    <w:rsid w:val="00977F6D"/>
    <w:rsid w:val="00980B47"/>
    <w:rsid w:val="00980E79"/>
    <w:rsid w:val="009816BC"/>
    <w:rsid w:val="00984096"/>
    <w:rsid w:val="009842D1"/>
    <w:rsid w:val="0098448B"/>
    <w:rsid w:val="009850F3"/>
    <w:rsid w:val="009865DC"/>
    <w:rsid w:val="00990B30"/>
    <w:rsid w:val="009915B5"/>
    <w:rsid w:val="00994F2C"/>
    <w:rsid w:val="009959D1"/>
    <w:rsid w:val="009A0C64"/>
    <w:rsid w:val="009A19AA"/>
    <w:rsid w:val="009A6455"/>
    <w:rsid w:val="009A779D"/>
    <w:rsid w:val="009B24FA"/>
    <w:rsid w:val="009B2EBB"/>
    <w:rsid w:val="009B55C2"/>
    <w:rsid w:val="009B6152"/>
    <w:rsid w:val="009C0283"/>
    <w:rsid w:val="009C297A"/>
    <w:rsid w:val="009C2E2F"/>
    <w:rsid w:val="009C6E41"/>
    <w:rsid w:val="009D025C"/>
    <w:rsid w:val="009D0817"/>
    <w:rsid w:val="009D0D11"/>
    <w:rsid w:val="009D18DD"/>
    <w:rsid w:val="009D334A"/>
    <w:rsid w:val="009D53AB"/>
    <w:rsid w:val="009E0A3A"/>
    <w:rsid w:val="009E1693"/>
    <w:rsid w:val="009E3437"/>
    <w:rsid w:val="009E365C"/>
    <w:rsid w:val="009E3BFD"/>
    <w:rsid w:val="009E40B3"/>
    <w:rsid w:val="009F17B5"/>
    <w:rsid w:val="009F182B"/>
    <w:rsid w:val="009F3435"/>
    <w:rsid w:val="009F5FE7"/>
    <w:rsid w:val="00A00702"/>
    <w:rsid w:val="00A02B37"/>
    <w:rsid w:val="00A030C2"/>
    <w:rsid w:val="00A03A26"/>
    <w:rsid w:val="00A04769"/>
    <w:rsid w:val="00A047A2"/>
    <w:rsid w:val="00A118C8"/>
    <w:rsid w:val="00A11DFA"/>
    <w:rsid w:val="00A11ED1"/>
    <w:rsid w:val="00A14CC9"/>
    <w:rsid w:val="00A173E7"/>
    <w:rsid w:val="00A17755"/>
    <w:rsid w:val="00A17EDF"/>
    <w:rsid w:val="00A221E4"/>
    <w:rsid w:val="00A230B4"/>
    <w:rsid w:val="00A2495A"/>
    <w:rsid w:val="00A24FDB"/>
    <w:rsid w:val="00A26FE5"/>
    <w:rsid w:val="00A30552"/>
    <w:rsid w:val="00A33108"/>
    <w:rsid w:val="00A33230"/>
    <w:rsid w:val="00A34245"/>
    <w:rsid w:val="00A34EC9"/>
    <w:rsid w:val="00A4033F"/>
    <w:rsid w:val="00A427A8"/>
    <w:rsid w:val="00A43168"/>
    <w:rsid w:val="00A446A4"/>
    <w:rsid w:val="00A449FC"/>
    <w:rsid w:val="00A47C44"/>
    <w:rsid w:val="00A52227"/>
    <w:rsid w:val="00A522D8"/>
    <w:rsid w:val="00A52452"/>
    <w:rsid w:val="00A52B04"/>
    <w:rsid w:val="00A53197"/>
    <w:rsid w:val="00A5438C"/>
    <w:rsid w:val="00A546FF"/>
    <w:rsid w:val="00A55982"/>
    <w:rsid w:val="00A56704"/>
    <w:rsid w:val="00A57738"/>
    <w:rsid w:val="00A57D69"/>
    <w:rsid w:val="00A57FBC"/>
    <w:rsid w:val="00A60124"/>
    <w:rsid w:val="00A636DE"/>
    <w:rsid w:val="00A64A14"/>
    <w:rsid w:val="00A64EA0"/>
    <w:rsid w:val="00A704CE"/>
    <w:rsid w:val="00A7075F"/>
    <w:rsid w:val="00A71474"/>
    <w:rsid w:val="00A71583"/>
    <w:rsid w:val="00A719AC"/>
    <w:rsid w:val="00A740CE"/>
    <w:rsid w:val="00A7470D"/>
    <w:rsid w:val="00A75BC3"/>
    <w:rsid w:val="00A76CAF"/>
    <w:rsid w:val="00A77746"/>
    <w:rsid w:val="00A77E6C"/>
    <w:rsid w:val="00A80D0E"/>
    <w:rsid w:val="00A833D8"/>
    <w:rsid w:val="00A8763B"/>
    <w:rsid w:val="00A90C4D"/>
    <w:rsid w:val="00A92B5B"/>
    <w:rsid w:val="00A9309F"/>
    <w:rsid w:val="00AA0306"/>
    <w:rsid w:val="00AA13CD"/>
    <w:rsid w:val="00AA20FB"/>
    <w:rsid w:val="00AA2D65"/>
    <w:rsid w:val="00AA66FF"/>
    <w:rsid w:val="00AA7718"/>
    <w:rsid w:val="00AB08D3"/>
    <w:rsid w:val="00AB0D93"/>
    <w:rsid w:val="00AB0F50"/>
    <w:rsid w:val="00AB125D"/>
    <w:rsid w:val="00AB148F"/>
    <w:rsid w:val="00AB619C"/>
    <w:rsid w:val="00AB7FA6"/>
    <w:rsid w:val="00AC0C47"/>
    <w:rsid w:val="00AC3BBC"/>
    <w:rsid w:val="00AC3C43"/>
    <w:rsid w:val="00AC6211"/>
    <w:rsid w:val="00AC6D97"/>
    <w:rsid w:val="00AD09B9"/>
    <w:rsid w:val="00AD41FB"/>
    <w:rsid w:val="00AD6373"/>
    <w:rsid w:val="00AD63D0"/>
    <w:rsid w:val="00AD71F2"/>
    <w:rsid w:val="00AD72AA"/>
    <w:rsid w:val="00AE0A01"/>
    <w:rsid w:val="00AE2D52"/>
    <w:rsid w:val="00AE338D"/>
    <w:rsid w:val="00AE3AED"/>
    <w:rsid w:val="00AE65C3"/>
    <w:rsid w:val="00AE6D77"/>
    <w:rsid w:val="00AF09F2"/>
    <w:rsid w:val="00AF16BC"/>
    <w:rsid w:val="00AF4A47"/>
    <w:rsid w:val="00B01497"/>
    <w:rsid w:val="00B01610"/>
    <w:rsid w:val="00B0317D"/>
    <w:rsid w:val="00B03C2F"/>
    <w:rsid w:val="00B066D8"/>
    <w:rsid w:val="00B07938"/>
    <w:rsid w:val="00B07F1B"/>
    <w:rsid w:val="00B12ACA"/>
    <w:rsid w:val="00B13498"/>
    <w:rsid w:val="00B144C0"/>
    <w:rsid w:val="00B15D64"/>
    <w:rsid w:val="00B17372"/>
    <w:rsid w:val="00B17B34"/>
    <w:rsid w:val="00B21103"/>
    <w:rsid w:val="00B216E5"/>
    <w:rsid w:val="00B2216F"/>
    <w:rsid w:val="00B22D7B"/>
    <w:rsid w:val="00B27979"/>
    <w:rsid w:val="00B31BF5"/>
    <w:rsid w:val="00B323F2"/>
    <w:rsid w:val="00B32CC6"/>
    <w:rsid w:val="00B335D9"/>
    <w:rsid w:val="00B3539F"/>
    <w:rsid w:val="00B35C25"/>
    <w:rsid w:val="00B36DD4"/>
    <w:rsid w:val="00B40587"/>
    <w:rsid w:val="00B412DB"/>
    <w:rsid w:val="00B42448"/>
    <w:rsid w:val="00B43FAB"/>
    <w:rsid w:val="00B47006"/>
    <w:rsid w:val="00B5075D"/>
    <w:rsid w:val="00B518C1"/>
    <w:rsid w:val="00B52902"/>
    <w:rsid w:val="00B52C88"/>
    <w:rsid w:val="00B52DB6"/>
    <w:rsid w:val="00B53758"/>
    <w:rsid w:val="00B56C9E"/>
    <w:rsid w:val="00B61055"/>
    <w:rsid w:val="00B6189A"/>
    <w:rsid w:val="00B62586"/>
    <w:rsid w:val="00B62B39"/>
    <w:rsid w:val="00B71D98"/>
    <w:rsid w:val="00B7283B"/>
    <w:rsid w:val="00B748A2"/>
    <w:rsid w:val="00B74BB8"/>
    <w:rsid w:val="00B75F9C"/>
    <w:rsid w:val="00B77E75"/>
    <w:rsid w:val="00B830F7"/>
    <w:rsid w:val="00B8451B"/>
    <w:rsid w:val="00B84E39"/>
    <w:rsid w:val="00B87087"/>
    <w:rsid w:val="00B87498"/>
    <w:rsid w:val="00B876B2"/>
    <w:rsid w:val="00B90E25"/>
    <w:rsid w:val="00B91448"/>
    <w:rsid w:val="00B9159D"/>
    <w:rsid w:val="00B92676"/>
    <w:rsid w:val="00B93D97"/>
    <w:rsid w:val="00B94017"/>
    <w:rsid w:val="00B94676"/>
    <w:rsid w:val="00B971A6"/>
    <w:rsid w:val="00B97398"/>
    <w:rsid w:val="00BA2C83"/>
    <w:rsid w:val="00BA42BE"/>
    <w:rsid w:val="00BA6F49"/>
    <w:rsid w:val="00BB1CEC"/>
    <w:rsid w:val="00BB3F32"/>
    <w:rsid w:val="00BB637C"/>
    <w:rsid w:val="00BB72FF"/>
    <w:rsid w:val="00BB75D4"/>
    <w:rsid w:val="00BC046B"/>
    <w:rsid w:val="00BC07A6"/>
    <w:rsid w:val="00BC3699"/>
    <w:rsid w:val="00BC4276"/>
    <w:rsid w:val="00BC7060"/>
    <w:rsid w:val="00BC709C"/>
    <w:rsid w:val="00BC7FBA"/>
    <w:rsid w:val="00BD19BD"/>
    <w:rsid w:val="00BD23F9"/>
    <w:rsid w:val="00BD33D0"/>
    <w:rsid w:val="00BD6082"/>
    <w:rsid w:val="00BD6944"/>
    <w:rsid w:val="00BE0E77"/>
    <w:rsid w:val="00BE114B"/>
    <w:rsid w:val="00BE1DFE"/>
    <w:rsid w:val="00BE418A"/>
    <w:rsid w:val="00BE451A"/>
    <w:rsid w:val="00BE5E84"/>
    <w:rsid w:val="00BE74EA"/>
    <w:rsid w:val="00BE7655"/>
    <w:rsid w:val="00BF27A2"/>
    <w:rsid w:val="00BF2D23"/>
    <w:rsid w:val="00BF359A"/>
    <w:rsid w:val="00BF5807"/>
    <w:rsid w:val="00BF5D7C"/>
    <w:rsid w:val="00BF66BB"/>
    <w:rsid w:val="00C00E14"/>
    <w:rsid w:val="00C018A5"/>
    <w:rsid w:val="00C03295"/>
    <w:rsid w:val="00C03311"/>
    <w:rsid w:val="00C0556A"/>
    <w:rsid w:val="00C0642A"/>
    <w:rsid w:val="00C065EA"/>
    <w:rsid w:val="00C068B9"/>
    <w:rsid w:val="00C06E62"/>
    <w:rsid w:val="00C0786F"/>
    <w:rsid w:val="00C10ABE"/>
    <w:rsid w:val="00C122FA"/>
    <w:rsid w:val="00C155F4"/>
    <w:rsid w:val="00C15801"/>
    <w:rsid w:val="00C15DB0"/>
    <w:rsid w:val="00C1760B"/>
    <w:rsid w:val="00C21A0D"/>
    <w:rsid w:val="00C21E39"/>
    <w:rsid w:val="00C21E9B"/>
    <w:rsid w:val="00C22AB6"/>
    <w:rsid w:val="00C2304D"/>
    <w:rsid w:val="00C261ED"/>
    <w:rsid w:val="00C26945"/>
    <w:rsid w:val="00C273A5"/>
    <w:rsid w:val="00C27495"/>
    <w:rsid w:val="00C27EB6"/>
    <w:rsid w:val="00C306D3"/>
    <w:rsid w:val="00C33494"/>
    <w:rsid w:val="00C35E71"/>
    <w:rsid w:val="00C365C8"/>
    <w:rsid w:val="00C42C2D"/>
    <w:rsid w:val="00C432A4"/>
    <w:rsid w:val="00C46318"/>
    <w:rsid w:val="00C51ECA"/>
    <w:rsid w:val="00C5229E"/>
    <w:rsid w:val="00C540DC"/>
    <w:rsid w:val="00C55946"/>
    <w:rsid w:val="00C55EEA"/>
    <w:rsid w:val="00C57B97"/>
    <w:rsid w:val="00C64FC7"/>
    <w:rsid w:val="00C655C8"/>
    <w:rsid w:val="00C65DAB"/>
    <w:rsid w:val="00C66B89"/>
    <w:rsid w:val="00C730BB"/>
    <w:rsid w:val="00C7322C"/>
    <w:rsid w:val="00C768DA"/>
    <w:rsid w:val="00C83183"/>
    <w:rsid w:val="00C849CF"/>
    <w:rsid w:val="00C8570B"/>
    <w:rsid w:val="00C86623"/>
    <w:rsid w:val="00C91B48"/>
    <w:rsid w:val="00C91B98"/>
    <w:rsid w:val="00C91F36"/>
    <w:rsid w:val="00C924DA"/>
    <w:rsid w:val="00C93314"/>
    <w:rsid w:val="00C9438D"/>
    <w:rsid w:val="00C9595E"/>
    <w:rsid w:val="00C96A02"/>
    <w:rsid w:val="00C96C6D"/>
    <w:rsid w:val="00C9777F"/>
    <w:rsid w:val="00C97F09"/>
    <w:rsid w:val="00CA0088"/>
    <w:rsid w:val="00CA18D6"/>
    <w:rsid w:val="00CA19C9"/>
    <w:rsid w:val="00CA2C72"/>
    <w:rsid w:val="00CA2C73"/>
    <w:rsid w:val="00CA303D"/>
    <w:rsid w:val="00CA322E"/>
    <w:rsid w:val="00CA5251"/>
    <w:rsid w:val="00CA58CB"/>
    <w:rsid w:val="00CA7D95"/>
    <w:rsid w:val="00CB070D"/>
    <w:rsid w:val="00CB3BE9"/>
    <w:rsid w:val="00CB3C70"/>
    <w:rsid w:val="00CB42D9"/>
    <w:rsid w:val="00CB611F"/>
    <w:rsid w:val="00CC4771"/>
    <w:rsid w:val="00CD13AE"/>
    <w:rsid w:val="00CD1444"/>
    <w:rsid w:val="00CD259B"/>
    <w:rsid w:val="00CE0106"/>
    <w:rsid w:val="00CE5A93"/>
    <w:rsid w:val="00CF16CE"/>
    <w:rsid w:val="00CF1E72"/>
    <w:rsid w:val="00CF2853"/>
    <w:rsid w:val="00CF3810"/>
    <w:rsid w:val="00CF6D3C"/>
    <w:rsid w:val="00CF733E"/>
    <w:rsid w:val="00D01BCD"/>
    <w:rsid w:val="00D03353"/>
    <w:rsid w:val="00D0356B"/>
    <w:rsid w:val="00D03885"/>
    <w:rsid w:val="00D06249"/>
    <w:rsid w:val="00D069AE"/>
    <w:rsid w:val="00D07517"/>
    <w:rsid w:val="00D10394"/>
    <w:rsid w:val="00D10A5C"/>
    <w:rsid w:val="00D11AEC"/>
    <w:rsid w:val="00D124DE"/>
    <w:rsid w:val="00D13111"/>
    <w:rsid w:val="00D13A04"/>
    <w:rsid w:val="00D1615F"/>
    <w:rsid w:val="00D162B1"/>
    <w:rsid w:val="00D16B03"/>
    <w:rsid w:val="00D21F2D"/>
    <w:rsid w:val="00D223F9"/>
    <w:rsid w:val="00D22902"/>
    <w:rsid w:val="00D22D34"/>
    <w:rsid w:val="00D23E6C"/>
    <w:rsid w:val="00D247EF"/>
    <w:rsid w:val="00D2492E"/>
    <w:rsid w:val="00D2636E"/>
    <w:rsid w:val="00D273DB"/>
    <w:rsid w:val="00D3131F"/>
    <w:rsid w:val="00D32A41"/>
    <w:rsid w:val="00D36C7A"/>
    <w:rsid w:val="00D37369"/>
    <w:rsid w:val="00D373CF"/>
    <w:rsid w:val="00D422C5"/>
    <w:rsid w:val="00D43223"/>
    <w:rsid w:val="00D43FB5"/>
    <w:rsid w:val="00D46594"/>
    <w:rsid w:val="00D47B04"/>
    <w:rsid w:val="00D5239D"/>
    <w:rsid w:val="00D54014"/>
    <w:rsid w:val="00D55BB5"/>
    <w:rsid w:val="00D57B77"/>
    <w:rsid w:val="00D61A59"/>
    <w:rsid w:val="00D61E14"/>
    <w:rsid w:val="00D61F26"/>
    <w:rsid w:val="00D62746"/>
    <w:rsid w:val="00D62B96"/>
    <w:rsid w:val="00D63364"/>
    <w:rsid w:val="00D63B06"/>
    <w:rsid w:val="00D63C8A"/>
    <w:rsid w:val="00D66FE8"/>
    <w:rsid w:val="00D7045C"/>
    <w:rsid w:val="00D708D4"/>
    <w:rsid w:val="00D71920"/>
    <w:rsid w:val="00D71E59"/>
    <w:rsid w:val="00D73CD9"/>
    <w:rsid w:val="00D7439C"/>
    <w:rsid w:val="00D74A94"/>
    <w:rsid w:val="00D75205"/>
    <w:rsid w:val="00D75AA3"/>
    <w:rsid w:val="00D75AEC"/>
    <w:rsid w:val="00D75D47"/>
    <w:rsid w:val="00D75FA9"/>
    <w:rsid w:val="00D76D64"/>
    <w:rsid w:val="00D77D56"/>
    <w:rsid w:val="00D8010E"/>
    <w:rsid w:val="00D812D8"/>
    <w:rsid w:val="00D839E8"/>
    <w:rsid w:val="00D8473D"/>
    <w:rsid w:val="00D849FD"/>
    <w:rsid w:val="00D84FBE"/>
    <w:rsid w:val="00D873C1"/>
    <w:rsid w:val="00D87A05"/>
    <w:rsid w:val="00D9031C"/>
    <w:rsid w:val="00D90B33"/>
    <w:rsid w:val="00D90C23"/>
    <w:rsid w:val="00D911BE"/>
    <w:rsid w:val="00D923FC"/>
    <w:rsid w:val="00D947F1"/>
    <w:rsid w:val="00D96300"/>
    <w:rsid w:val="00D96E86"/>
    <w:rsid w:val="00D973B4"/>
    <w:rsid w:val="00DA08A9"/>
    <w:rsid w:val="00DA7268"/>
    <w:rsid w:val="00DB01ED"/>
    <w:rsid w:val="00DB285B"/>
    <w:rsid w:val="00DB2AA6"/>
    <w:rsid w:val="00DB5DF5"/>
    <w:rsid w:val="00DB67B8"/>
    <w:rsid w:val="00DB6C80"/>
    <w:rsid w:val="00DB6E52"/>
    <w:rsid w:val="00DB7B30"/>
    <w:rsid w:val="00DB7B6E"/>
    <w:rsid w:val="00DC0AE7"/>
    <w:rsid w:val="00DC1055"/>
    <w:rsid w:val="00DC3525"/>
    <w:rsid w:val="00DC4B3A"/>
    <w:rsid w:val="00DC5936"/>
    <w:rsid w:val="00DC59D5"/>
    <w:rsid w:val="00DC7FC2"/>
    <w:rsid w:val="00DD1659"/>
    <w:rsid w:val="00DD221F"/>
    <w:rsid w:val="00DD6DC5"/>
    <w:rsid w:val="00DD723A"/>
    <w:rsid w:val="00DD76DD"/>
    <w:rsid w:val="00DD7BB1"/>
    <w:rsid w:val="00DE1857"/>
    <w:rsid w:val="00DE2250"/>
    <w:rsid w:val="00DE3779"/>
    <w:rsid w:val="00DE4831"/>
    <w:rsid w:val="00DE642C"/>
    <w:rsid w:val="00DE6C45"/>
    <w:rsid w:val="00DE773F"/>
    <w:rsid w:val="00DF1E2E"/>
    <w:rsid w:val="00DF2185"/>
    <w:rsid w:val="00DF37AA"/>
    <w:rsid w:val="00DF4763"/>
    <w:rsid w:val="00DF573E"/>
    <w:rsid w:val="00DF5BF5"/>
    <w:rsid w:val="00E02C9F"/>
    <w:rsid w:val="00E10659"/>
    <w:rsid w:val="00E1168C"/>
    <w:rsid w:val="00E12D11"/>
    <w:rsid w:val="00E1337B"/>
    <w:rsid w:val="00E14471"/>
    <w:rsid w:val="00E156A5"/>
    <w:rsid w:val="00E16ADD"/>
    <w:rsid w:val="00E23322"/>
    <w:rsid w:val="00E23FCA"/>
    <w:rsid w:val="00E269A2"/>
    <w:rsid w:val="00E26F42"/>
    <w:rsid w:val="00E32AB8"/>
    <w:rsid w:val="00E32D4B"/>
    <w:rsid w:val="00E3378A"/>
    <w:rsid w:val="00E34A94"/>
    <w:rsid w:val="00E365B4"/>
    <w:rsid w:val="00E377A0"/>
    <w:rsid w:val="00E430A7"/>
    <w:rsid w:val="00E444BA"/>
    <w:rsid w:val="00E4593F"/>
    <w:rsid w:val="00E4688A"/>
    <w:rsid w:val="00E47485"/>
    <w:rsid w:val="00E51E43"/>
    <w:rsid w:val="00E52936"/>
    <w:rsid w:val="00E5322D"/>
    <w:rsid w:val="00E54614"/>
    <w:rsid w:val="00E549FB"/>
    <w:rsid w:val="00E551AB"/>
    <w:rsid w:val="00E567DC"/>
    <w:rsid w:val="00E61697"/>
    <w:rsid w:val="00E61B68"/>
    <w:rsid w:val="00E6345F"/>
    <w:rsid w:val="00E63FB8"/>
    <w:rsid w:val="00E64EAB"/>
    <w:rsid w:val="00E70E90"/>
    <w:rsid w:val="00E756F3"/>
    <w:rsid w:val="00E761C3"/>
    <w:rsid w:val="00E7788C"/>
    <w:rsid w:val="00E9079D"/>
    <w:rsid w:val="00E93300"/>
    <w:rsid w:val="00EA00AB"/>
    <w:rsid w:val="00EA035D"/>
    <w:rsid w:val="00EA2477"/>
    <w:rsid w:val="00EA2539"/>
    <w:rsid w:val="00EA305D"/>
    <w:rsid w:val="00EA523B"/>
    <w:rsid w:val="00EA5363"/>
    <w:rsid w:val="00EA5436"/>
    <w:rsid w:val="00EA6714"/>
    <w:rsid w:val="00EA6F80"/>
    <w:rsid w:val="00EA789E"/>
    <w:rsid w:val="00EA7EF4"/>
    <w:rsid w:val="00EB4398"/>
    <w:rsid w:val="00EB4CD9"/>
    <w:rsid w:val="00EB5381"/>
    <w:rsid w:val="00EB59F9"/>
    <w:rsid w:val="00EB6BBF"/>
    <w:rsid w:val="00EB761C"/>
    <w:rsid w:val="00EC1142"/>
    <w:rsid w:val="00EC1511"/>
    <w:rsid w:val="00EC1535"/>
    <w:rsid w:val="00EC1AC7"/>
    <w:rsid w:val="00EC347C"/>
    <w:rsid w:val="00EC45A1"/>
    <w:rsid w:val="00EC5FA1"/>
    <w:rsid w:val="00EC6FC7"/>
    <w:rsid w:val="00EC7587"/>
    <w:rsid w:val="00ED0FFA"/>
    <w:rsid w:val="00ED34D5"/>
    <w:rsid w:val="00ED3E59"/>
    <w:rsid w:val="00ED40B8"/>
    <w:rsid w:val="00ED4F2C"/>
    <w:rsid w:val="00ED765F"/>
    <w:rsid w:val="00EE2B2E"/>
    <w:rsid w:val="00EE6084"/>
    <w:rsid w:val="00EE6441"/>
    <w:rsid w:val="00EF1155"/>
    <w:rsid w:val="00EF1427"/>
    <w:rsid w:val="00EF2582"/>
    <w:rsid w:val="00EF4A90"/>
    <w:rsid w:val="00EF586D"/>
    <w:rsid w:val="00EF615E"/>
    <w:rsid w:val="00EF6B56"/>
    <w:rsid w:val="00EF7AB4"/>
    <w:rsid w:val="00F011A9"/>
    <w:rsid w:val="00F04654"/>
    <w:rsid w:val="00F05F39"/>
    <w:rsid w:val="00F06D9E"/>
    <w:rsid w:val="00F11CAC"/>
    <w:rsid w:val="00F1277E"/>
    <w:rsid w:val="00F14845"/>
    <w:rsid w:val="00F16D0F"/>
    <w:rsid w:val="00F20BCE"/>
    <w:rsid w:val="00F21644"/>
    <w:rsid w:val="00F2259E"/>
    <w:rsid w:val="00F25517"/>
    <w:rsid w:val="00F26A22"/>
    <w:rsid w:val="00F279DE"/>
    <w:rsid w:val="00F315A8"/>
    <w:rsid w:val="00F321DE"/>
    <w:rsid w:val="00F32461"/>
    <w:rsid w:val="00F3425D"/>
    <w:rsid w:val="00F353E2"/>
    <w:rsid w:val="00F365B1"/>
    <w:rsid w:val="00F41A86"/>
    <w:rsid w:val="00F43812"/>
    <w:rsid w:val="00F45A9D"/>
    <w:rsid w:val="00F5025D"/>
    <w:rsid w:val="00F50CE4"/>
    <w:rsid w:val="00F5265C"/>
    <w:rsid w:val="00F52ED9"/>
    <w:rsid w:val="00F539A2"/>
    <w:rsid w:val="00F55754"/>
    <w:rsid w:val="00F564AC"/>
    <w:rsid w:val="00F57E78"/>
    <w:rsid w:val="00F57F3A"/>
    <w:rsid w:val="00F654B1"/>
    <w:rsid w:val="00F65FEC"/>
    <w:rsid w:val="00F66790"/>
    <w:rsid w:val="00F675F0"/>
    <w:rsid w:val="00F6796A"/>
    <w:rsid w:val="00F67B26"/>
    <w:rsid w:val="00F702FB"/>
    <w:rsid w:val="00F70D87"/>
    <w:rsid w:val="00F70EB6"/>
    <w:rsid w:val="00F70F8C"/>
    <w:rsid w:val="00F7167E"/>
    <w:rsid w:val="00F75607"/>
    <w:rsid w:val="00F75B72"/>
    <w:rsid w:val="00F76418"/>
    <w:rsid w:val="00F7756E"/>
    <w:rsid w:val="00F807C2"/>
    <w:rsid w:val="00F80CE1"/>
    <w:rsid w:val="00F81136"/>
    <w:rsid w:val="00F81E1F"/>
    <w:rsid w:val="00F830AE"/>
    <w:rsid w:val="00F83AF8"/>
    <w:rsid w:val="00F83C8E"/>
    <w:rsid w:val="00F8447B"/>
    <w:rsid w:val="00F851E3"/>
    <w:rsid w:val="00F85AF1"/>
    <w:rsid w:val="00F86675"/>
    <w:rsid w:val="00F87959"/>
    <w:rsid w:val="00F901A4"/>
    <w:rsid w:val="00F904ED"/>
    <w:rsid w:val="00F90BE1"/>
    <w:rsid w:val="00F92A9D"/>
    <w:rsid w:val="00F9433F"/>
    <w:rsid w:val="00F96FB0"/>
    <w:rsid w:val="00F97844"/>
    <w:rsid w:val="00FA052D"/>
    <w:rsid w:val="00FA378C"/>
    <w:rsid w:val="00FA45BB"/>
    <w:rsid w:val="00FA6F10"/>
    <w:rsid w:val="00FB0BAC"/>
    <w:rsid w:val="00FB1B61"/>
    <w:rsid w:val="00FB3EDB"/>
    <w:rsid w:val="00FB53D4"/>
    <w:rsid w:val="00FB701C"/>
    <w:rsid w:val="00FB74BC"/>
    <w:rsid w:val="00FC12AE"/>
    <w:rsid w:val="00FC3C1A"/>
    <w:rsid w:val="00FC4F32"/>
    <w:rsid w:val="00FC566E"/>
    <w:rsid w:val="00FC687C"/>
    <w:rsid w:val="00FC6E1C"/>
    <w:rsid w:val="00FC7FF6"/>
    <w:rsid w:val="00FD06F0"/>
    <w:rsid w:val="00FD66F7"/>
    <w:rsid w:val="00FE35C0"/>
    <w:rsid w:val="00FE7645"/>
    <w:rsid w:val="00FF26BD"/>
    <w:rsid w:val="00FF276D"/>
    <w:rsid w:val="00FF43A1"/>
    <w:rsid w:val="00FF664E"/>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AECB25"/>
  <w15:docId w15:val="{944BF305-3098-4F0D-95DB-B8D9DED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3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F5025D"/>
    <w:rPr>
      <w:rFonts w:eastAsia="Times New Roman"/>
      <w:sz w:val="22"/>
      <w:szCs w:val="22"/>
    </w:rPr>
  </w:style>
  <w:style w:type="character" w:customStyle="1" w:styleId="NoSpacingChar">
    <w:name w:val="No Spacing Char"/>
    <w:basedOn w:val="DefaultParagraphFont"/>
    <w:link w:val="NoSpacing"/>
    <w:uiPriority w:val="99"/>
    <w:locked/>
    <w:rsid w:val="00F5025D"/>
    <w:rPr>
      <w:rFonts w:eastAsia="Times New Roman"/>
      <w:sz w:val="22"/>
      <w:szCs w:val="22"/>
      <w:lang w:val="en-US" w:eastAsia="en-US" w:bidi="ar-SA"/>
    </w:rPr>
  </w:style>
  <w:style w:type="paragraph" w:styleId="BalloonText">
    <w:name w:val="Balloon Text"/>
    <w:basedOn w:val="Normal"/>
    <w:link w:val="BalloonTextChar"/>
    <w:uiPriority w:val="99"/>
    <w:semiHidden/>
    <w:rsid w:val="00F50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25D"/>
    <w:rPr>
      <w:rFonts w:ascii="Tahoma" w:hAnsi="Tahoma" w:cs="Tahoma"/>
      <w:sz w:val="16"/>
      <w:szCs w:val="16"/>
    </w:rPr>
  </w:style>
  <w:style w:type="paragraph" w:styleId="Header">
    <w:name w:val="header"/>
    <w:basedOn w:val="Normal"/>
    <w:link w:val="HeaderChar"/>
    <w:uiPriority w:val="99"/>
    <w:semiHidden/>
    <w:rsid w:val="00890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90C72"/>
    <w:rPr>
      <w:rFonts w:cs="Times New Roman"/>
    </w:rPr>
  </w:style>
  <w:style w:type="paragraph" w:styleId="Footer">
    <w:name w:val="footer"/>
    <w:basedOn w:val="Normal"/>
    <w:link w:val="FooterChar"/>
    <w:uiPriority w:val="99"/>
    <w:rsid w:val="00890C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0C72"/>
    <w:rPr>
      <w:rFonts w:cs="Times New Roman"/>
    </w:rPr>
  </w:style>
  <w:style w:type="paragraph" w:customStyle="1" w:styleId="Default">
    <w:name w:val="Default"/>
    <w:uiPriority w:val="99"/>
    <w:rsid w:val="00D57B77"/>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330EE8"/>
    <w:rPr>
      <w:rFonts w:cs="Times New Roman"/>
      <w:sz w:val="16"/>
      <w:szCs w:val="16"/>
    </w:rPr>
  </w:style>
  <w:style w:type="paragraph" w:styleId="CommentText">
    <w:name w:val="annotation text"/>
    <w:basedOn w:val="Normal"/>
    <w:link w:val="CommentTextChar"/>
    <w:uiPriority w:val="99"/>
    <w:semiHidden/>
    <w:rsid w:val="00330E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0EE8"/>
    <w:rPr>
      <w:rFonts w:cs="Times New Roman"/>
      <w:sz w:val="20"/>
      <w:szCs w:val="20"/>
    </w:rPr>
  </w:style>
  <w:style w:type="paragraph" w:styleId="CommentSubject">
    <w:name w:val="annotation subject"/>
    <w:basedOn w:val="CommentText"/>
    <w:next w:val="CommentText"/>
    <w:link w:val="CommentSubjectChar"/>
    <w:uiPriority w:val="99"/>
    <w:semiHidden/>
    <w:rsid w:val="00330EE8"/>
    <w:rPr>
      <w:b/>
      <w:bCs/>
    </w:rPr>
  </w:style>
  <w:style w:type="character" w:customStyle="1" w:styleId="CommentSubjectChar">
    <w:name w:val="Comment Subject Char"/>
    <w:basedOn w:val="CommentTextChar"/>
    <w:link w:val="CommentSubject"/>
    <w:uiPriority w:val="99"/>
    <w:semiHidden/>
    <w:locked/>
    <w:rsid w:val="00330EE8"/>
    <w:rPr>
      <w:rFonts w:cs="Times New Roman"/>
      <w:b/>
      <w:bCs/>
      <w:sz w:val="20"/>
      <w:szCs w:val="20"/>
    </w:rPr>
  </w:style>
  <w:style w:type="paragraph" w:styleId="ListParagraph">
    <w:name w:val="List Paragraph"/>
    <w:basedOn w:val="Normal"/>
    <w:uiPriority w:val="99"/>
    <w:qFormat/>
    <w:rsid w:val="001D3FD3"/>
    <w:pPr>
      <w:ind w:left="720"/>
      <w:contextualSpacing/>
    </w:pPr>
  </w:style>
  <w:style w:type="paragraph" w:styleId="FootnoteText">
    <w:name w:val="footnote text"/>
    <w:basedOn w:val="Normal"/>
    <w:link w:val="FootnoteTextChar"/>
    <w:uiPriority w:val="99"/>
    <w:semiHidden/>
    <w:unhideWhenUsed/>
    <w:rsid w:val="00363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8B3"/>
  </w:style>
  <w:style w:type="character" w:styleId="FootnoteReference">
    <w:name w:val="footnote reference"/>
    <w:basedOn w:val="DefaultParagraphFont"/>
    <w:uiPriority w:val="99"/>
    <w:semiHidden/>
    <w:unhideWhenUsed/>
    <w:rsid w:val="00363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01">
      <w:bodyDiv w:val="1"/>
      <w:marLeft w:val="0"/>
      <w:marRight w:val="0"/>
      <w:marTop w:val="0"/>
      <w:marBottom w:val="0"/>
      <w:divBdr>
        <w:top w:val="none" w:sz="0" w:space="0" w:color="auto"/>
        <w:left w:val="none" w:sz="0" w:space="0" w:color="auto"/>
        <w:bottom w:val="none" w:sz="0" w:space="0" w:color="auto"/>
        <w:right w:val="none" w:sz="0" w:space="0" w:color="auto"/>
      </w:divBdr>
    </w:div>
    <w:div w:id="71586994">
      <w:bodyDiv w:val="1"/>
      <w:marLeft w:val="0"/>
      <w:marRight w:val="0"/>
      <w:marTop w:val="0"/>
      <w:marBottom w:val="0"/>
      <w:divBdr>
        <w:top w:val="none" w:sz="0" w:space="0" w:color="auto"/>
        <w:left w:val="none" w:sz="0" w:space="0" w:color="auto"/>
        <w:bottom w:val="none" w:sz="0" w:space="0" w:color="auto"/>
        <w:right w:val="none" w:sz="0" w:space="0" w:color="auto"/>
      </w:divBdr>
    </w:div>
    <w:div w:id="84234636">
      <w:bodyDiv w:val="1"/>
      <w:marLeft w:val="0"/>
      <w:marRight w:val="0"/>
      <w:marTop w:val="0"/>
      <w:marBottom w:val="0"/>
      <w:divBdr>
        <w:top w:val="none" w:sz="0" w:space="0" w:color="auto"/>
        <w:left w:val="none" w:sz="0" w:space="0" w:color="auto"/>
        <w:bottom w:val="none" w:sz="0" w:space="0" w:color="auto"/>
        <w:right w:val="none" w:sz="0" w:space="0" w:color="auto"/>
      </w:divBdr>
    </w:div>
    <w:div w:id="140588298">
      <w:bodyDiv w:val="1"/>
      <w:marLeft w:val="0"/>
      <w:marRight w:val="0"/>
      <w:marTop w:val="0"/>
      <w:marBottom w:val="0"/>
      <w:divBdr>
        <w:top w:val="none" w:sz="0" w:space="0" w:color="auto"/>
        <w:left w:val="none" w:sz="0" w:space="0" w:color="auto"/>
        <w:bottom w:val="none" w:sz="0" w:space="0" w:color="auto"/>
        <w:right w:val="none" w:sz="0" w:space="0" w:color="auto"/>
      </w:divBdr>
    </w:div>
    <w:div w:id="153957403">
      <w:bodyDiv w:val="1"/>
      <w:marLeft w:val="0"/>
      <w:marRight w:val="0"/>
      <w:marTop w:val="0"/>
      <w:marBottom w:val="0"/>
      <w:divBdr>
        <w:top w:val="none" w:sz="0" w:space="0" w:color="auto"/>
        <w:left w:val="none" w:sz="0" w:space="0" w:color="auto"/>
        <w:bottom w:val="none" w:sz="0" w:space="0" w:color="auto"/>
        <w:right w:val="none" w:sz="0" w:space="0" w:color="auto"/>
      </w:divBdr>
    </w:div>
    <w:div w:id="178592336">
      <w:bodyDiv w:val="1"/>
      <w:marLeft w:val="0"/>
      <w:marRight w:val="0"/>
      <w:marTop w:val="0"/>
      <w:marBottom w:val="0"/>
      <w:divBdr>
        <w:top w:val="none" w:sz="0" w:space="0" w:color="auto"/>
        <w:left w:val="none" w:sz="0" w:space="0" w:color="auto"/>
        <w:bottom w:val="none" w:sz="0" w:space="0" w:color="auto"/>
        <w:right w:val="none" w:sz="0" w:space="0" w:color="auto"/>
      </w:divBdr>
    </w:div>
    <w:div w:id="185100376">
      <w:bodyDiv w:val="1"/>
      <w:marLeft w:val="0"/>
      <w:marRight w:val="0"/>
      <w:marTop w:val="0"/>
      <w:marBottom w:val="0"/>
      <w:divBdr>
        <w:top w:val="none" w:sz="0" w:space="0" w:color="auto"/>
        <w:left w:val="none" w:sz="0" w:space="0" w:color="auto"/>
        <w:bottom w:val="none" w:sz="0" w:space="0" w:color="auto"/>
        <w:right w:val="none" w:sz="0" w:space="0" w:color="auto"/>
      </w:divBdr>
    </w:div>
    <w:div w:id="200480581">
      <w:bodyDiv w:val="1"/>
      <w:marLeft w:val="0"/>
      <w:marRight w:val="0"/>
      <w:marTop w:val="0"/>
      <w:marBottom w:val="0"/>
      <w:divBdr>
        <w:top w:val="none" w:sz="0" w:space="0" w:color="auto"/>
        <w:left w:val="none" w:sz="0" w:space="0" w:color="auto"/>
        <w:bottom w:val="none" w:sz="0" w:space="0" w:color="auto"/>
        <w:right w:val="none" w:sz="0" w:space="0" w:color="auto"/>
      </w:divBdr>
    </w:div>
    <w:div w:id="259802474">
      <w:bodyDiv w:val="1"/>
      <w:marLeft w:val="0"/>
      <w:marRight w:val="0"/>
      <w:marTop w:val="0"/>
      <w:marBottom w:val="0"/>
      <w:divBdr>
        <w:top w:val="none" w:sz="0" w:space="0" w:color="auto"/>
        <w:left w:val="none" w:sz="0" w:space="0" w:color="auto"/>
        <w:bottom w:val="none" w:sz="0" w:space="0" w:color="auto"/>
        <w:right w:val="none" w:sz="0" w:space="0" w:color="auto"/>
      </w:divBdr>
    </w:div>
    <w:div w:id="262493581">
      <w:bodyDiv w:val="1"/>
      <w:marLeft w:val="0"/>
      <w:marRight w:val="0"/>
      <w:marTop w:val="0"/>
      <w:marBottom w:val="0"/>
      <w:divBdr>
        <w:top w:val="none" w:sz="0" w:space="0" w:color="auto"/>
        <w:left w:val="none" w:sz="0" w:space="0" w:color="auto"/>
        <w:bottom w:val="none" w:sz="0" w:space="0" w:color="auto"/>
        <w:right w:val="none" w:sz="0" w:space="0" w:color="auto"/>
      </w:divBdr>
    </w:div>
    <w:div w:id="274143789">
      <w:bodyDiv w:val="1"/>
      <w:marLeft w:val="0"/>
      <w:marRight w:val="0"/>
      <w:marTop w:val="0"/>
      <w:marBottom w:val="0"/>
      <w:divBdr>
        <w:top w:val="none" w:sz="0" w:space="0" w:color="auto"/>
        <w:left w:val="none" w:sz="0" w:space="0" w:color="auto"/>
        <w:bottom w:val="none" w:sz="0" w:space="0" w:color="auto"/>
        <w:right w:val="none" w:sz="0" w:space="0" w:color="auto"/>
      </w:divBdr>
    </w:div>
    <w:div w:id="337583176">
      <w:bodyDiv w:val="1"/>
      <w:marLeft w:val="0"/>
      <w:marRight w:val="0"/>
      <w:marTop w:val="0"/>
      <w:marBottom w:val="0"/>
      <w:divBdr>
        <w:top w:val="none" w:sz="0" w:space="0" w:color="auto"/>
        <w:left w:val="none" w:sz="0" w:space="0" w:color="auto"/>
        <w:bottom w:val="none" w:sz="0" w:space="0" w:color="auto"/>
        <w:right w:val="none" w:sz="0" w:space="0" w:color="auto"/>
      </w:divBdr>
    </w:div>
    <w:div w:id="339964755">
      <w:bodyDiv w:val="1"/>
      <w:marLeft w:val="0"/>
      <w:marRight w:val="0"/>
      <w:marTop w:val="0"/>
      <w:marBottom w:val="0"/>
      <w:divBdr>
        <w:top w:val="none" w:sz="0" w:space="0" w:color="auto"/>
        <w:left w:val="none" w:sz="0" w:space="0" w:color="auto"/>
        <w:bottom w:val="none" w:sz="0" w:space="0" w:color="auto"/>
        <w:right w:val="none" w:sz="0" w:space="0" w:color="auto"/>
      </w:divBdr>
    </w:div>
    <w:div w:id="340476593">
      <w:bodyDiv w:val="1"/>
      <w:marLeft w:val="0"/>
      <w:marRight w:val="0"/>
      <w:marTop w:val="0"/>
      <w:marBottom w:val="0"/>
      <w:divBdr>
        <w:top w:val="none" w:sz="0" w:space="0" w:color="auto"/>
        <w:left w:val="none" w:sz="0" w:space="0" w:color="auto"/>
        <w:bottom w:val="none" w:sz="0" w:space="0" w:color="auto"/>
        <w:right w:val="none" w:sz="0" w:space="0" w:color="auto"/>
      </w:divBdr>
    </w:div>
    <w:div w:id="366219070">
      <w:bodyDiv w:val="1"/>
      <w:marLeft w:val="0"/>
      <w:marRight w:val="0"/>
      <w:marTop w:val="0"/>
      <w:marBottom w:val="0"/>
      <w:divBdr>
        <w:top w:val="none" w:sz="0" w:space="0" w:color="auto"/>
        <w:left w:val="none" w:sz="0" w:space="0" w:color="auto"/>
        <w:bottom w:val="none" w:sz="0" w:space="0" w:color="auto"/>
        <w:right w:val="none" w:sz="0" w:space="0" w:color="auto"/>
      </w:divBdr>
    </w:div>
    <w:div w:id="443890577">
      <w:bodyDiv w:val="1"/>
      <w:marLeft w:val="0"/>
      <w:marRight w:val="0"/>
      <w:marTop w:val="0"/>
      <w:marBottom w:val="0"/>
      <w:divBdr>
        <w:top w:val="none" w:sz="0" w:space="0" w:color="auto"/>
        <w:left w:val="none" w:sz="0" w:space="0" w:color="auto"/>
        <w:bottom w:val="none" w:sz="0" w:space="0" w:color="auto"/>
        <w:right w:val="none" w:sz="0" w:space="0" w:color="auto"/>
      </w:divBdr>
    </w:div>
    <w:div w:id="445083172">
      <w:bodyDiv w:val="1"/>
      <w:marLeft w:val="0"/>
      <w:marRight w:val="0"/>
      <w:marTop w:val="0"/>
      <w:marBottom w:val="0"/>
      <w:divBdr>
        <w:top w:val="none" w:sz="0" w:space="0" w:color="auto"/>
        <w:left w:val="none" w:sz="0" w:space="0" w:color="auto"/>
        <w:bottom w:val="none" w:sz="0" w:space="0" w:color="auto"/>
        <w:right w:val="none" w:sz="0" w:space="0" w:color="auto"/>
      </w:divBdr>
    </w:div>
    <w:div w:id="454104349">
      <w:bodyDiv w:val="1"/>
      <w:marLeft w:val="0"/>
      <w:marRight w:val="0"/>
      <w:marTop w:val="0"/>
      <w:marBottom w:val="0"/>
      <w:divBdr>
        <w:top w:val="none" w:sz="0" w:space="0" w:color="auto"/>
        <w:left w:val="none" w:sz="0" w:space="0" w:color="auto"/>
        <w:bottom w:val="none" w:sz="0" w:space="0" w:color="auto"/>
        <w:right w:val="none" w:sz="0" w:space="0" w:color="auto"/>
      </w:divBdr>
    </w:div>
    <w:div w:id="465008053">
      <w:bodyDiv w:val="1"/>
      <w:marLeft w:val="0"/>
      <w:marRight w:val="0"/>
      <w:marTop w:val="0"/>
      <w:marBottom w:val="0"/>
      <w:divBdr>
        <w:top w:val="none" w:sz="0" w:space="0" w:color="auto"/>
        <w:left w:val="none" w:sz="0" w:space="0" w:color="auto"/>
        <w:bottom w:val="none" w:sz="0" w:space="0" w:color="auto"/>
        <w:right w:val="none" w:sz="0" w:space="0" w:color="auto"/>
      </w:divBdr>
    </w:div>
    <w:div w:id="476653054">
      <w:bodyDiv w:val="1"/>
      <w:marLeft w:val="0"/>
      <w:marRight w:val="0"/>
      <w:marTop w:val="0"/>
      <w:marBottom w:val="0"/>
      <w:divBdr>
        <w:top w:val="none" w:sz="0" w:space="0" w:color="auto"/>
        <w:left w:val="none" w:sz="0" w:space="0" w:color="auto"/>
        <w:bottom w:val="none" w:sz="0" w:space="0" w:color="auto"/>
        <w:right w:val="none" w:sz="0" w:space="0" w:color="auto"/>
      </w:divBdr>
      <w:divsChild>
        <w:div w:id="300965145">
          <w:marLeft w:val="0"/>
          <w:marRight w:val="400"/>
          <w:marTop w:val="0"/>
          <w:marBottom w:val="0"/>
          <w:divBdr>
            <w:top w:val="none" w:sz="0" w:space="0" w:color="auto"/>
            <w:left w:val="none" w:sz="0" w:space="0" w:color="auto"/>
            <w:bottom w:val="none" w:sz="0" w:space="0" w:color="auto"/>
            <w:right w:val="none" w:sz="0" w:space="0" w:color="auto"/>
          </w:divBdr>
        </w:div>
      </w:divsChild>
    </w:div>
    <w:div w:id="483086314">
      <w:bodyDiv w:val="1"/>
      <w:marLeft w:val="0"/>
      <w:marRight w:val="0"/>
      <w:marTop w:val="0"/>
      <w:marBottom w:val="0"/>
      <w:divBdr>
        <w:top w:val="none" w:sz="0" w:space="0" w:color="auto"/>
        <w:left w:val="none" w:sz="0" w:space="0" w:color="auto"/>
        <w:bottom w:val="none" w:sz="0" w:space="0" w:color="auto"/>
        <w:right w:val="none" w:sz="0" w:space="0" w:color="auto"/>
      </w:divBdr>
    </w:div>
    <w:div w:id="488442398">
      <w:bodyDiv w:val="1"/>
      <w:marLeft w:val="0"/>
      <w:marRight w:val="0"/>
      <w:marTop w:val="0"/>
      <w:marBottom w:val="0"/>
      <w:divBdr>
        <w:top w:val="none" w:sz="0" w:space="0" w:color="auto"/>
        <w:left w:val="none" w:sz="0" w:space="0" w:color="auto"/>
        <w:bottom w:val="none" w:sz="0" w:space="0" w:color="auto"/>
        <w:right w:val="none" w:sz="0" w:space="0" w:color="auto"/>
      </w:divBdr>
    </w:div>
    <w:div w:id="504053673">
      <w:bodyDiv w:val="1"/>
      <w:marLeft w:val="0"/>
      <w:marRight w:val="0"/>
      <w:marTop w:val="0"/>
      <w:marBottom w:val="0"/>
      <w:divBdr>
        <w:top w:val="none" w:sz="0" w:space="0" w:color="auto"/>
        <w:left w:val="none" w:sz="0" w:space="0" w:color="auto"/>
        <w:bottom w:val="none" w:sz="0" w:space="0" w:color="auto"/>
        <w:right w:val="none" w:sz="0" w:space="0" w:color="auto"/>
      </w:divBdr>
    </w:div>
    <w:div w:id="513109605">
      <w:bodyDiv w:val="1"/>
      <w:marLeft w:val="0"/>
      <w:marRight w:val="0"/>
      <w:marTop w:val="0"/>
      <w:marBottom w:val="0"/>
      <w:divBdr>
        <w:top w:val="none" w:sz="0" w:space="0" w:color="auto"/>
        <w:left w:val="none" w:sz="0" w:space="0" w:color="auto"/>
        <w:bottom w:val="none" w:sz="0" w:space="0" w:color="auto"/>
        <w:right w:val="none" w:sz="0" w:space="0" w:color="auto"/>
      </w:divBdr>
    </w:div>
    <w:div w:id="616722567">
      <w:bodyDiv w:val="1"/>
      <w:marLeft w:val="0"/>
      <w:marRight w:val="0"/>
      <w:marTop w:val="0"/>
      <w:marBottom w:val="0"/>
      <w:divBdr>
        <w:top w:val="none" w:sz="0" w:space="0" w:color="auto"/>
        <w:left w:val="none" w:sz="0" w:space="0" w:color="auto"/>
        <w:bottom w:val="none" w:sz="0" w:space="0" w:color="auto"/>
        <w:right w:val="none" w:sz="0" w:space="0" w:color="auto"/>
      </w:divBdr>
    </w:div>
    <w:div w:id="642929731">
      <w:bodyDiv w:val="1"/>
      <w:marLeft w:val="0"/>
      <w:marRight w:val="0"/>
      <w:marTop w:val="0"/>
      <w:marBottom w:val="0"/>
      <w:divBdr>
        <w:top w:val="none" w:sz="0" w:space="0" w:color="auto"/>
        <w:left w:val="none" w:sz="0" w:space="0" w:color="auto"/>
        <w:bottom w:val="none" w:sz="0" w:space="0" w:color="auto"/>
        <w:right w:val="none" w:sz="0" w:space="0" w:color="auto"/>
      </w:divBdr>
    </w:div>
    <w:div w:id="645863275">
      <w:bodyDiv w:val="1"/>
      <w:marLeft w:val="0"/>
      <w:marRight w:val="0"/>
      <w:marTop w:val="0"/>
      <w:marBottom w:val="0"/>
      <w:divBdr>
        <w:top w:val="none" w:sz="0" w:space="0" w:color="auto"/>
        <w:left w:val="none" w:sz="0" w:space="0" w:color="auto"/>
        <w:bottom w:val="none" w:sz="0" w:space="0" w:color="auto"/>
        <w:right w:val="none" w:sz="0" w:space="0" w:color="auto"/>
      </w:divBdr>
    </w:div>
    <w:div w:id="666716912">
      <w:bodyDiv w:val="1"/>
      <w:marLeft w:val="0"/>
      <w:marRight w:val="0"/>
      <w:marTop w:val="0"/>
      <w:marBottom w:val="0"/>
      <w:divBdr>
        <w:top w:val="none" w:sz="0" w:space="0" w:color="auto"/>
        <w:left w:val="none" w:sz="0" w:space="0" w:color="auto"/>
        <w:bottom w:val="none" w:sz="0" w:space="0" w:color="auto"/>
        <w:right w:val="none" w:sz="0" w:space="0" w:color="auto"/>
      </w:divBdr>
    </w:div>
    <w:div w:id="723062373">
      <w:bodyDiv w:val="1"/>
      <w:marLeft w:val="0"/>
      <w:marRight w:val="0"/>
      <w:marTop w:val="0"/>
      <w:marBottom w:val="0"/>
      <w:divBdr>
        <w:top w:val="none" w:sz="0" w:space="0" w:color="auto"/>
        <w:left w:val="none" w:sz="0" w:space="0" w:color="auto"/>
        <w:bottom w:val="none" w:sz="0" w:space="0" w:color="auto"/>
        <w:right w:val="none" w:sz="0" w:space="0" w:color="auto"/>
      </w:divBdr>
    </w:div>
    <w:div w:id="752358883">
      <w:bodyDiv w:val="1"/>
      <w:marLeft w:val="0"/>
      <w:marRight w:val="0"/>
      <w:marTop w:val="0"/>
      <w:marBottom w:val="0"/>
      <w:divBdr>
        <w:top w:val="none" w:sz="0" w:space="0" w:color="auto"/>
        <w:left w:val="none" w:sz="0" w:space="0" w:color="auto"/>
        <w:bottom w:val="none" w:sz="0" w:space="0" w:color="auto"/>
        <w:right w:val="none" w:sz="0" w:space="0" w:color="auto"/>
      </w:divBdr>
    </w:div>
    <w:div w:id="757100444">
      <w:bodyDiv w:val="1"/>
      <w:marLeft w:val="0"/>
      <w:marRight w:val="0"/>
      <w:marTop w:val="0"/>
      <w:marBottom w:val="0"/>
      <w:divBdr>
        <w:top w:val="none" w:sz="0" w:space="0" w:color="auto"/>
        <w:left w:val="none" w:sz="0" w:space="0" w:color="auto"/>
        <w:bottom w:val="none" w:sz="0" w:space="0" w:color="auto"/>
        <w:right w:val="none" w:sz="0" w:space="0" w:color="auto"/>
      </w:divBdr>
    </w:div>
    <w:div w:id="783422310">
      <w:bodyDiv w:val="1"/>
      <w:marLeft w:val="0"/>
      <w:marRight w:val="0"/>
      <w:marTop w:val="0"/>
      <w:marBottom w:val="0"/>
      <w:divBdr>
        <w:top w:val="none" w:sz="0" w:space="0" w:color="auto"/>
        <w:left w:val="none" w:sz="0" w:space="0" w:color="auto"/>
        <w:bottom w:val="none" w:sz="0" w:space="0" w:color="auto"/>
        <w:right w:val="none" w:sz="0" w:space="0" w:color="auto"/>
      </w:divBdr>
      <w:divsChild>
        <w:div w:id="528564396">
          <w:marLeft w:val="0"/>
          <w:marRight w:val="0"/>
          <w:marTop w:val="0"/>
          <w:marBottom w:val="0"/>
          <w:divBdr>
            <w:top w:val="none" w:sz="0" w:space="0" w:color="auto"/>
            <w:left w:val="none" w:sz="0" w:space="0" w:color="auto"/>
            <w:bottom w:val="none" w:sz="0" w:space="0" w:color="auto"/>
            <w:right w:val="none" w:sz="0" w:space="0" w:color="auto"/>
          </w:divBdr>
          <w:divsChild>
            <w:div w:id="940992220">
              <w:marLeft w:val="0"/>
              <w:marRight w:val="0"/>
              <w:marTop w:val="0"/>
              <w:marBottom w:val="0"/>
              <w:divBdr>
                <w:top w:val="none" w:sz="0" w:space="0" w:color="auto"/>
                <w:left w:val="none" w:sz="0" w:space="0" w:color="auto"/>
                <w:bottom w:val="none" w:sz="0" w:space="0" w:color="auto"/>
                <w:right w:val="none" w:sz="0" w:space="0" w:color="auto"/>
              </w:divBdr>
              <w:divsChild>
                <w:div w:id="968977097">
                  <w:marLeft w:val="0"/>
                  <w:marRight w:val="0"/>
                  <w:marTop w:val="0"/>
                  <w:marBottom w:val="0"/>
                  <w:divBdr>
                    <w:top w:val="none" w:sz="0" w:space="0" w:color="auto"/>
                    <w:left w:val="none" w:sz="0" w:space="0" w:color="auto"/>
                    <w:bottom w:val="none" w:sz="0" w:space="0" w:color="auto"/>
                    <w:right w:val="none" w:sz="0" w:space="0" w:color="auto"/>
                  </w:divBdr>
                  <w:divsChild>
                    <w:div w:id="1483423026">
                      <w:marLeft w:val="150"/>
                      <w:marRight w:val="150"/>
                      <w:marTop w:val="0"/>
                      <w:marBottom w:val="0"/>
                      <w:divBdr>
                        <w:top w:val="none" w:sz="0" w:space="0" w:color="auto"/>
                        <w:left w:val="none" w:sz="0" w:space="0" w:color="auto"/>
                        <w:bottom w:val="none" w:sz="0" w:space="0" w:color="auto"/>
                        <w:right w:val="none" w:sz="0" w:space="0" w:color="auto"/>
                      </w:divBdr>
                      <w:divsChild>
                        <w:div w:id="595361029">
                          <w:marLeft w:val="0"/>
                          <w:marRight w:val="0"/>
                          <w:marTop w:val="0"/>
                          <w:marBottom w:val="0"/>
                          <w:divBdr>
                            <w:top w:val="none" w:sz="0" w:space="0" w:color="auto"/>
                            <w:left w:val="none" w:sz="0" w:space="0" w:color="auto"/>
                            <w:bottom w:val="none" w:sz="0" w:space="0" w:color="auto"/>
                            <w:right w:val="none" w:sz="0" w:space="0" w:color="auto"/>
                          </w:divBdr>
                          <w:divsChild>
                            <w:div w:id="1806893704">
                              <w:marLeft w:val="0"/>
                              <w:marRight w:val="0"/>
                              <w:marTop w:val="0"/>
                              <w:marBottom w:val="0"/>
                              <w:divBdr>
                                <w:top w:val="none" w:sz="0" w:space="0" w:color="auto"/>
                                <w:left w:val="none" w:sz="0" w:space="0" w:color="auto"/>
                                <w:bottom w:val="none" w:sz="0" w:space="0" w:color="auto"/>
                                <w:right w:val="none" w:sz="0" w:space="0" w:color="auto"/>
                              </w:divBdr>
                              <w:divsChild>
                                <w:div w:id="1492911554">
                                  <w:marLeft w:val="0"/>
                                  <w:marRight w:val="0"/>
                                  <w:marTop w:val="0"/>
                                  <w:marBottom w:val="0"/>
                                  <w:divBdr>
                                    <w:top w:val="none" w:sz="0" w:space="0" w:color="auto"/>
                                    <w:left w:val="none" w:sz="0" w:space="0" w:color="auto"/>
                                    <w:bottom w:val="none" w:sz="0" w:space="0" w:color="auto"/>
                                    <w:right w:val="none" w:sz="0" w:space="0" w:color="auto"/>
                                  </w:divBdr>
                                  <w:divsChild>
                                    <w:div w:id="224026539">
                                      <w:marLeft w:val="0"/>
                                      <w:marRight w:val="0"/>
                                      <w:marTop w:val="0"/>
                                      <w:marBottom w:val="0"/>
                                      <w:divBdr>
                                        <w:top w:val="none" w:sz="0" w:space="0" w:color="auto"/>
                                        <w:left w:val="none" w:sz="0" w:space="0" w:color="auto"/>
                                        <w:bottom w:val="none" w:sz="0" w:space="0" w:color="auto"/>
                                        <w:right w:val="none" w:sz="0" w:space="0" w:color="auto"/>
                                      </w:divBdr>
                                      <w:divsChild>
                                        <w:div w:id="1858421358">
                                          <w:marLeft w:val="0"/>
                                          <w:marRight w:val="0"/>
                                          <w:marTop w:val="0"/>
                                          <w:marBottom w:val="0"/>
                                          <w:divBdr>
                                            <w:top w:val="none" w:sz="0" w:space="0" w:color="auto"/>
                                            <w:left w:val="none" w:sz="0" w:space="0" w:color="auto"/>
                                            <w:bottom w:val="none" w:sz="0" w:space="0" w:color="auto"/>
                                            <w:right w:val="none" w:sz="0" w:space="0" w:color="auto"/>
                                          </w:divBdr>
                                          <w:divsChild>
                                            <w:div w:id="2139571478">
                                              <w:marLeft w:val="0"/>
                                              <w:marRight w:val="0"/>
                                              <w:marTop w:val="0"/>
                                              <w:marBottom w:val="0"/>
                                              <w:divBdr>
                                                <w:top w:val="none" w:sz="0" w:space="0" w:color="auto"/>
                                                <w:left w:val="none" w:sz="0" w:space="0" w:color="auto"/>
                                                <w:bottom w:val="none" w:sz="0" w:space="0" w:color="auto"/>
                                                <w:right w:val="none" w:sz="0" w:space="0" w:color="auto"/>
                                              </w:divBdr>
                                              <w:divsChild>
                                                <w:div w:id="2063751618">
                                                  <w:marLeft w:val="0"/>
                                                  <w:marRight w:val="0"/>
                                                  <w:marTop w:val="0"/>
                                                  <w:marBottom w:val="0"/>
                                                  <w:divBdr>
                                                    <w:top w:val="none" w:sz="0" w:space="0" w:color="auto"/>
                                                    <w:left w:val="none" w:sz="0" w:space="0" w:color="auto"/>
                                                    <w:bottom w:val="none" w:sz="0" w:space="0" w:color="auto"/>
                                                    <w:right w:val="none" w:sz="0" w:space="0" w:color="auto"/>
                                                  </w:divBdr>
                                                  <w:divsChild>
                                                    <w:div w:id="258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153725">
      <w:bodyDiv w:val="1"/>
      <w:marLeft w:val="0"/>
      <w:marRight w:val="0"/>
      <w:marTop w:val="0"/>
      <w:marBottom w:val="0"/>
      <w:divBdr>
        <w:top w:val="none" w:sz="0" w:space="0" w:color="auto"/>
        <w:left w:val="none" w:sz="0" w:space="0" w:color="auto"/>
        <w:bottom w:val="none" w:sz="0" w:space="0" w:color="auto"/>
        <w:right w:val="none" w:sz="0" w:space="0" w:color="auto"/>
      </w:divBdr>
    </w:div>
    <w:div w:id="789982218">
      <w:bodyDiv w:val="1"/>
      <w:marLeft w:val="0"/>
      <w:marRight w:val="0"/>
      <w:marTop w:val="0"/>
      <w:marBottom w:val="0"/>
      <w:divBdr>
        <w:top w:val="none" w:sz="0" w:space="0" w:color="auto"/>
        <w:left w:val="none" w:sz="0" w:space="0" w:color="auto"/>
        <w:bottom w:val="none" w:sz="0" w:space="0" w:color="auto"/>
        <w:right w:val="none" w:sz="0" w:space="0" w:color="auto"/>
      </w:divBdr>
    </w:div>
    <w:div w:id="790708384">
      <w:bodyDiv w:val="1"/>
      <w:marLeft w:val="0"/>
      <w:marRight w:val="0"/>
      <w:marTop w:val="0"/>
      <w:marBottom w:val="0"/>
      <w:divBdr>
        <w:top w:val="none" w:sz="0" w:space="0" w:color="auto"/>
        <w:left w:val="none" w:sz="0" w:space="0" w:color="auto"/>
        <w:bottom w:val="none" w:sz="0" w:space="0" w:color="auto"/>
        <w:right w:val="none" w:sz="0" w:space="0" w:color="auto"/>
      </w:divBdr>
    </w:div>
    <w:div w:id="832261323">
      <w:bodyDiv w:val="1"/>
      <w:marLeft w:val="0"/>
      <w:marRight w:val="0"/>
      <w:marTop w:val="0"/>
      <w:marBottom w:val="0"/>
      <w:divBdr>
        <w:top w:val="none" w:sz="0" w:space="0" w:color="auto"/>
        <w:left w:val="none" w:sz="0" w:space="0" w:color="auto"/>
        <w:bottom w:val="none" w:sz="0" w:space="0" w:color="auto"/>
        <w:right w:val="none" w:sz="0" w:space="0" w:color="auto"/>
      </w:divBdr>
    </w:div>
    <w:div w:id="842403334">
      <w:bodyDiv w:val="1"/>
      <w:marLeft w:val="0"/>
      <w:marRight w:val="0"/>
      <w:marTop w:val="0"/>
      <w:marBottom w:val="0"/>
      <w:divBdr>
        <w:top w:val="none" w:sz="0" w:space="0" w:color="auto"/>
        <w:left w:val="none" w:sz="0" w:space="0" w:color="auto"/>
        <w:bottom w:val="none" w:sz="0" w:space="0" w:color="auto"/>
        <w:right w:val="none" w:sz="0" w:space="0" w:color="auto"/>
      </w:divBdr>
    </w:div>
    <w:div w:id="880169547">
      <w:bodyDiv w:val="1"/>
      <w:marLeft w:val="0"/>
      <w:marRight w:val="0"/>
      <w:marTop w:val="0"/>
      <w:marBottom w:val="0"/>
      <w:divBdr>
        <w:top w:val="none" w:sz="0" w:space="0" w:color="auto"/>
        <w:left w:val="none" w:sz="0" w:space="0" w:color="auto"/>
        <w:bottom w:val="none" w:sz="0" w:space="0" w:color="auto"/>
        <w:right w:val="none" w:sz="0" w:space="0" w:color="auto"/>
      </w:divBdr>
    </w:div>
    <w:div w:id="966470038">
      <w:bodyDiv w:val="1"/>
      <w:marLeft w:val="0"/>
      <w:marRight w:val="0"/>
      <w:marTop w:val="0"/>
      <w:marBottom w:val="0"/>
      <w:divBdr>
        <w:top w:val="none" w:sz="0" w:space="0" w:color="auto"/>
        <w:left w:val="none" w:sz="0" w:space="0" w:color="auto"/>
        <w:bottom w:val="none" w:sz="0" w:space="0" w:color="auto"/>
        <w:right w:val="none" w:sz="0" w:space="0" w:color="auto"/>
      </w:divBdr>
    </w:div>
    <w:div w:id="1002200697">
      <w:bodyDiv w:val="1"/>
      <w:marLeft w:val="0"/>
      <w:marRight w:val="0"/>
      <w:marTop w:val="0"/>
      <w:marBottom w:val="0"/>
      <w:divBdr>
        <w:top w:val="none" w:sz="0" w:space="0" w:color="auto"/>
        <w:left w:val="none" w:sz="0" w:space="0" w:color="auto"/>
        <w:bottom w:val="none" w:sz="0" w:space="0" w:color="auto"/>
        <w:right w:val="none" w:sz="0" w:space="0" w:color="auto"/>
      </w:divBdr>
    </w:div>
    <w:div w:id="1019890033">
      <w:bodyDiv w:val="1"/>
      <w:marLeft w:val="0"/>
      <w:marRight w:val="0"/>
      <w:marTop w:val="0"/>
      <w:marBottom w:val="0"/>
      <w:divBdr>
        <w:top w:val="none" w:sz="0" w:space="0" w:color="auto"/>
        <w:left w:val="none" w:sz="0" w:space="0" w:color="auto"/>
        <w:bottom w:val="none" w:sz="0" w:space="0" w:color="auto"/>
        <w:right w:val="none" w:sz="0" w:space="0" w:color="auto"/>
      </w:divBdr>
    </w:div>
    <w:div w:id="1044981021">
      <w:bodyDiv w:val="1"/>
      <w:marLeft w:val="0"/>
      <w:marRight w:val="0"/>
      <w:marTop w:val="0"/>
      <w:marBottom w:val="0"/>
      <w:divBdr>
        <w:top w:val="none" w:sz="0" w:space="0" w:color="auto"/>
        <w:left w:val="none" w:sz="0" w:space="0" w:color="auto"/>
        <w:bottom w:val="none" w:sz="0" w:space="0" w:color="auto"/>
        <w:right w:val="none" w:sz="0" w:space="0" w:color="auto"/>
      </w:divBdr>
    </w:div>
    <w:div w:id="1064719227">
      <w:bodyDiv w:val="1"/>
      <w:marLeft w:val="0"/>
      <w:marRight w:val="0"/>
      <w:marTop w:val="0"/>
      <w:marBottom w:val="0"/>
      <w:divBdr>
        <w:top w:val="none" w:sz="0" w:space="0" w:color="auto"/>
        <w:left w:val="none" w:sz="0" w:space="0" w:color="auto"/>
        <w:bottom w:val="none" w:sz="0" w:space="0" w:color="auto"/>
        <w:right w:val="none" w:sz="0" w:space="0" w:color="auto"/>
      </w:divBdr>
    </w:div>
    <w:div w:id="1076047204">
      <w:bodyDiv w:val="1"/>
      <w:marLeft w:val="0"/>
      <w:marRight w:val="0"/>
      <w:marTop w:val="0"/>
      <w:marBottom w:val="0"/>
      <w:divBdr>
        <w:top w:val="none" w:sz="0" w:space="0" w:color="auto"/>
        <w:left w:val="none" w:sz="0" w:space="0" w:color="auto"/>
        <w:bottom w:val="none" w:sz="0" w:space="0" w:color="auto"/>
        <w:right w:val="none" w:sz="0" w:space="0" w:color="auto"/>
      </w:divBdr>
    </w:div>
    <w:div w:id="1092698173">
      <w:marLeft w:val="0"/>
      <w:marRight w:val="0"/>
      <w:marTop w:val="0"/>
      <w:marBottom w:val="0"/>
      <w:divBdr>
        <w:top w:val="none" w:sz="0" w:space="0" w:color="auto"/>
        <w:left w:val="none" w:sz="0" w:space="0" w:color="auto"/>
        <w:bottom w:val="none" w:sz="0" w:space="0" w:color="auto"/>
        <w:right w:val="none" w:sz="0" w:space="0" w:color="auto"/>
      </w:divBdr>
    </w:div>
    <w:div w:id="1092698174">
      <w:marLeft w:val="0"/>
      <w:marRight w:val="0"/>
      <w:marTop w:val="0"/>
      <w:marBottom w:val="0"/>
      <w:divBdr>
        <w:top w:val="none" w:sz="0" w:space="0" w:color="auto"/>
        <w:left w:val="none" w:sz="0" w:space="0" w:color="auto"/>
        <w:bottom w:val="none" w:sz="0" w:space="0" w:color="auto"/>
        <w:right w:val="none" w:sz="0" w:space="0" w:color="auto"/>
      </w:divBdr>
    </w:div>
    <w:div w:id="1092698175">
      <w:marLeft w:val="0"/>
      <w:marRight w:val="0"/>
      <w:marTop w:val="0"/>
      <w:marBottom w:val="0"/>
      <w:divBdr>
        <w:top w:val="none" w:sz="0" w:space="0" w:color="auto"/>
        <w:left w:val="none" w:sz="0" w:space="0" w:color="auto"/>
        <w:bottom w:val="none" w:sz="0" w:space="0" w:color="auto"/>
        <w:right w:val="none" w:sz="0" w:space="0" w:color="auto"/>
      </w:divBdr>
    </w:div>
    <w:div w:id="1092698176">
      <w:marLeft w:val="0"/>
      <w:marRight w:val="0"/>
      <w:marTop w:val="0"/>
      <w:marBottom w:val="0"/>
      <w:divBdr>
        <w:top w:val="none" w:sz="0" w:space="0" w:color="auto"/>
        <w:left w:val="none" w:sz="0" w:space="0" w:color="auto"/>
        <w:bottom w:val="none" w:sz="0" w:space="0" w:color="auto"/>
        <w:right w:val="none" w:sz="0" w:space="0" w:color="auto"/>
      </w:divBdr>
    </w:div>
    <w:div w:id="1092698177">
      <w:marLeft w:val="0"/>
      <w:marRight w:val="0"/>
      <w:marTop w:val="0"/>
      <w:marBottom w:val="0"/>
      <w:divBdr>
        <w:top w:val="none" w:sz="0" w:space="0" w:color="auto"/>
        <w:left w:val="none" w:sz="0" w:space="0" w:color="auto"/>
        <w:bottom w:val="none" w:sz="0" w:space="0" w:color="auto"/>
        <w:right w:val="none" w:sz="0" w:space="0" w:color="auto"/>
      </w:divBdr>
    </w:div>
    <w:div w:id="1092698178">
      <w:marLeft w:val="0"/>
      <w:marRight w:val="0"/>
      <w:marTop w:val="0"/>
      <w:marBottom w:val="0"/>
      <w:divBdr>
        <w:top w:val="none" w:sz="0" w:space="0" w:color="auto"/>
        <w:left w:val="none" w:sz="0" w:space="0" w:color="auto"/>
        <w:bottom w:val="none" w:sz="0" w:space="0" w:color="auto"/>
        <w:right w:val="none" w:sz="0" w:space="0" w:color="auto"/>
      </w:divBdr>
    </w:div>
    <w:div w:id="1092698179">
      <w:marLeft w:val="0"/>
      <w:marRight w:val="0"/>
      <w:marTop w:val="0"/>
      <w:marBottom w:val="0"/>
      <w:divBdr>
        <w:top w:val="none" w:sz="0" w:space="0" w:color="auto"/>
        <w:left w:val="none" w:sz="0" w:space="0" w:color="auto"/>
        <w:bottom w:val="none" w:sz="0" w:space="0" w:color="auto"/>
        <w:right w:val="none" w:sz="0" w:space="0" w:color="auto"/>
      </w:divBdr>
    </w:div>
    <w:div w:id="1095326327">
      <w:bodyDiv w:val="1"/>
      <w:marLeft w:val="0"/>
      <w:marRight w:val="0"/>
      <w:marTop w:val="0"/>
      <w:marBottom w:val="0"/>
      <w:divBdr>
        <w:top w:val="none" w:sz="0" w:space="0" w:color="auto"/>
        <w:left w:val="none" w:sz="0" w:space="0" w:color="auto"/>
        <w:bottom w:val="none" w:sz="0" w:space="0" w:color="auto"/>
        <w:right w:val="none" w:sz="0" w:space="0" w:color="auto"/>
      </w:divBdr>
    </w:div>
    <w:div w:id="1095708943">
      <w:bodyDiv w:val="1"/>
      <w:marLeft w:val="0"/>
      <w:marRight w:val="0"/>
      <w:marTop w:val="0"/>
      <w:marBottom w:val="0"/>
      <w:divBdr>
        <w:top w:val="none" w:sz="0" w:space="0" w:color="auto"/>
        <w:left w:val="none" w:sz="0" w:space="0" w:color="auto"/>
        <w:bottom w:val="none" w:sz="0" w:space="0" w:color="auto"/>
        <w:right w:val="none" w:sz="0" w:space="0" w:color="auto"/>
      </w:divBdr>
    </w:div>
    <w:div w:id="1108115356">
      <w:bodyDiv w:val="1"/>
      <w:marLeft w:val="0"/>
      <w:marRight w:val="0"/>
      <w:marTop w:val="0"/>
      <w:marBottom w:val="0"/>
      <w:divBdr>
        <w:top w:val="none" w:sz="0" w:space="0" w:color="auto"/>
        <w:left w:val="none" w:sz="0" w:space="0" w:color="auto"/>
        <w:bottom w:val="none" w:sz="0" w:space="0" w:color="auto"/>
        <w:right w:val="none" w:sz="0" w:space="0" w:color="auto"/>
      </w:divBdr>
    </w:div>
    <w:div w:id="1108699779">
      <w:bodyDiv w:val="1"/>
      <w:marLeft w:val="0"/>
      <w:marRight w:val="0"/>
      <w:marTop w:val="0"/>
      <w:marBottom w:val="0"/>
      <w:divBdr>
        <w:top w:val="none" w:sz="0" w:space="0" w:color="auto"/>
        <w:left w:val="none" w:sz="0" w:space="0" w:color="auto"/>
        <w:bottom w:val="none" w:sz="0" w:space="0" w:color="auto"/>
        <w:right w:val="none" w:sz="0" w:space="0" w:color="auto"/>
      </w:divBdr>
    </w:div>
    <w:div w:id="1231311013">
      <w:bodyDiv w:val="1"/>
      <w:marLeft w:val="0"/>
      <w:marRight w:val="0"/>
      <w:marTop w:val="0"/>
      <w:marBottom w:val="0"/>
      <w:divBdr>
        <w:top w:val="none" w:sz="0" w:space="0" w:color="auto"/>
        <w:left w:val="none" w:sz="0" w:space="0" w:color="auto"/>
        <w:bottom w:val="none" w:sz="0" w:space="0" w:color="auto"/>
        <w:right w:val="none" w:sz="0" w:space="0" w:color="auto"/>
      </w:divBdr>
    </w:div>
    <w:div w:id="1426421572">
      <w:bodyDiv w:val="1"/>
      <w:marLeft w:val="0"/>
      <w:marRight w:val="0"/>
      <w:marTop w:val="0"/>
      <w:marBottom w:val="0"/>
      <w:divBdr>
        <w:top w:val="none" w:sz="0" w:space="0" w:color="auto"/>
        <w:left w:val="none" w:sz="0" w:space="0" w:color="auto"/>
        <w:bottom w:val="none" w:sz="0" w:space="0" w:color="auto"/>
        <w:right w:val="none" w:sz="0" w:space="0" w:color="auto"/>
      </w:divBdr>
    </w:div>
    <w:div w:id="1525443650">
      <w:bodyDiv w:val="1"/>
      <w:marLeft w:val="0"/>
      <w:marRight w:val="0"/>
      <w:marTop w:val="0"/>
      <w:marBottom w:val="0"/>
      <w:divBdr>
        <w:top w:val="none" w:sz="0" w:space="0" w:color="auto"/>
        <w:left w:val="none" w:sz="0" w:space="0" w:color="auto"/>
        <w:bottom w:val="none" w:sz="0" w:space="0" w:color="auto"/>
        <w:right w:val="none" w:sz="0" w:space="0" w:color="auto"/>
      </w:divBdr>
    </w:div>
    <w:div w:id="1526364089">
      <w:bodyDiv w:val="1"/>
      <w:marLeft w:val="0"/>
      <w:marRight w:val="0"/>
      <w:marTop w:val="0"/>
      <w:marBottom w:val="0"/>
      <w:divBdr>
        <w:top w:val="none" w:sz="0" w:space="0" w:color="auto"/>
        <w:left w:val="none" w:sz="0" w:space="0" w:color="auto"/>
        <w:bottom w:val="none" w:sz="0" w:space="0" w:color="auto"/>
        <w:right w:val="none" w:sz="0" w:space="0" w:color="auto"/>
      </w:divBdr>
    </w:div>
    <w:div w:id="1543446773">
      <w:bodyDiv w:val="1"/>
      <w:marLeft w:val="0"/>
      <w:marRight w:val="0"/>
      <w:marTop w:val="0"/>
      <w:marBottom w:val="0"/>
      <w:divBdr>
        <w:top w:val="none" w:sz="0" w:space="0" w:color="auto"/>
        <w:left w:val="none" w:sz="0" w:space="0" w:color="auto"/>
        <w:bottom w:val="none" w:sz="0" w:space="0" w:color="auto"/>
        <w:right w:val="none" w:sz="0" w:space="0" w:color="auto"/>
      </w:divBdr>
    </w:div>
    <w:div w:id="1605070784">
      <w:bodyDiv w:val="1"/>
      <w:marLeft w:val="0"/>
      <w:marRight w:val="0"/>
      <w:marTop w:val="0"/>
      <w:marBottom w:val="0"/>
      <w:divBdr>
        <w:top w:val="none" w:sz="0" w:space="0" w:color="auto"/>
        <w:left w:val="none" w:sz="0" w:space="0" w:color="auto"/>
        <w:bottom w:val="none" w:sz="0" w:space="0" w:color="auto"/>
        <w:right w:val="none" w:sz="0" w:space="0" w:color="auto"/>
      </w:divBdr>
    </w:div>
    <w:div w:id="1690569870">
      <w:bodyDiv w:val="1"/>
      <w:marLeft w:val="0"/>
      <w:marRight w:val="0"/>
      <w:marTop w:val="0"/>
      <w:marBottom w:val="0"/>
      <w:divBdr>
        <w:top w:val="none" w:sz="0" w:space="0" w:color="auto"/>
        <w:left w:val="none" w:sz="0" w:space="0" w:color="auto"/>
        <w:bottom w:val="none" w:sz="0" w:space="0" w:color="auto"/>
        <w:right w:val="none" w:sz="0" w:space="0" w:color="auto"/>
      </w:divBdr>
    </w:div>
    <w:div w:id="1839029339">
      <w:bodyDiv w:val="1"/>
      <w:marLeft w:val="0"/>
      <w:marRight w:val="0"/>
      <w:marTop w:val="0"/>
      <w:marBottom w:val="0"/>
      <w:divBdr>
        <w:top w:val="none" w:sz="0" w:space="0" w:color="auto"/>
        <w:left w:val="none" w:sz="0" w:space="0" w:color="auto"/>
        <w:bottom w:val="none" w:sz="0" w:space="0" w:color="auto"/>
        <w:right w:val="none" w:sz="0" w:space="0" w:color="auto"/>
      </w:divBdr>
    </w:div>
    <w:div w:id="1877158993">
      <w:bodyDiv w:val="1"/>
      <w:marLeft w:val="0"/>
      <w:marRight w:val="0"/>
      <w:marTop w:val="0"/>
      <w:marBottom w:val="0"/>
      <w:divBdr>
        <w:top w:val="none" w:sz="0" w:space="0" w:color="auto"/>
        <w:left w:val="none" w:sz="0" w:space="0" w:color="auto"/>
        <w:bottom w:val="none" w:sz="0" w:space="0" w:color="auto"/>
        <w:right w:val="none" w:sz="0" w:space="0" w:color="auto"/>
      </w:divBdr>
    </w:div>
    <w:div w:id="1900898987">
      <w:bodyDiv w:val="1"/>
      <w:marLeft w:val="0"/>
      <w:marRight w:val="0"/>
      <w:marTop w:val="0"/>
      <w:marBottom w:val="0"/>
      <w:divBdr>
        <w:top w:val="none" w:sz="0" w:space="0" w:color="auto"/>
        <w:left w:val="none" w:sz="0" w:space="0" w:color="auto"/>
        <w:bottom w:val="none" w:sz="0" w:space="0" w:color="auto"/>
        <w:right w:val="none" w:sz="0" w:space="0" w:color="auto"/>
      </w:divBdr>
    </w:div>
    <w:div w:id="1928994409">
      <w:bodyDiv w:val="1"/>
      <w:marLeft w:val="0"/>
      <w:marRight w:val="0"/>
      <w:marTop w:val="0"/>
      <w:marBottom w:val="0"/>
      <w:divBdr>
        <w:top w:val="none" w:sz="0" w:space="0" w:color="auto"/>
        <w:left w:val="none" w:sz="0" w:space="0" w:color="auto"/>
        <w:bottom w:val="none" w:sz="0" w:space="0" w:color="auto"/>
        <w:right w:val="none" w:sz="0" w:space="0" w:color="auto"/>
      </w:divBdr>
    </w:div>
    <w:div w:id="1957054982">
      <w:bodyDiv w:val="1"/>
      <w:marLeft w:val="0"/>
      <w:marRight w:val="0"/>
      <w:marTop w:val="0"/>
      <w:marBottom w:val="0"/>
      <w:divBdr>
        <w:top w:val="none" w:sz="0" w:space="0" w:color="auto"/>
        <w:left w:val="none" w:sz="0" w:space="0" w:color="auto"/>
        <w:bottom w:val="none" w:sz="0" w:space="0" w:color="auto"/>
        <w:right w:val="none" w:sz="0" w:space="0" w:color="auto"/>
      </w:divBdr>
    </w:div>
    <w:div w:id="1978608788">
      <w:bodyDiv w:val="1"/>
      <w:marLeft w:val="0"/>
      <w:marRight w:val="0"/>
      <w:marTop w:val="0"/>
      <w:marBottom w:val="0"/>
      <w:divBdr>
        <w:top w:val="none" w:sz="0" w:space="0" w:color="auto"/>
        <w:left w:val="none" w:sz="0" w:space="0" w:color="auto"/>
        <w:bottom w:val="none" w:sz="0" w:space="0" w:color="auto"/>
        <w:right w:val="none" w:sz="0" w:space="0" w:color="auto"/>
      </w:divBdr>
    </w:div>
    <w:div w:id="2006392645">
      <w:bodyDiv w:val="1"/>
      <w:marLeft w:val="0"/>
      <w:marRight w:val="0"/>
      <w:marTop w:val="0"/>
      <w:marBottom w:val="0"/>
      <w:divBdr>
        <w:top w:val="none" w:sz="0" w:space="0" w:color="auto"/>
        <w:left w:val="none" w:sz="0" w:space="0" w:color="auto"/>
        <w:bottom w:val="none" w:sz="0" w:space="0" w:color="auto"/>
        <w:right w:val="none" w:sz="0" w:space="0" w:color="auto"/>
      </w:divBdr>
    </w:div>
    <w:div w:id="2035109439">
      <w:bodyDiv w:val="1"/>
      <w:marLeft w:val="0"/>
      <w:marRight w:val="0"/>
      <w:marTop w:val="0"/>
      <w:marBottom w:val="0"/>
      <w:divBdr>
        <w:top w:val="none" w:sz="0" w:space="0" w:color="auto"/>
        <w:left w:val="none" w:sz="0" w:space="0" w:color="auto"/>
        <w:bottom w:val="none" w:sz="0" w:space="0" w:color="auto"/>
        <w:right w:val="none" w:sz="0" w:space="0" w:color="auto"/>
      </w:divBdr>
    </w:div>
    <w:div w:id="2070881403">
      <w:bodyDiv w:val="1"/>
      <w:marLeft w:val="0"/>
      <w:marRight w:val="0"/>
      <w:marTop w:val="0"/>
      <w:marBottom w:val="0"/>
      <w:divBdr>
        <w:top w:val="none" w:sz="0" w:space="0" w:color="auto"/>
        <w:left w:val="none" w:sz="0" w:space="0" w:color="auto"/>
        <w:bottom w:val="none" w:sz="0" w:space="0" w:color="auto"/>
        <w:right w:val="none" w:sz="0" w:space="0" w:color="auto"/>
      </w:divBdr>
    </w:div>
    <w:div w:id="2103987066">
      <w:bodyDiv w:val="1"/>
      <w:marLeft w:val="0"/>
      <w:marRight w:val="0"/>
      <w:marTop w:val="0"/>
      <w:marBottom w:val="0"/>
      <w:divBdr>
        <w:top w:val="none" w:sz="0" w:space="0" w:color="auto"/>
        <w:left w:val="none" w:sz="0" w:space="0" w:color="auto"/>
        <w:bottom w:val="none" w:sz="0" w:space="0" w:color="auto"/>
        <w:right w:val="none" w:sz="0" w:space="0" w:color="auto"/>
      </w:divBdr>
    </w:div>
    <w:div w:id="21093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16B9-E0BF-45CD-A6F2-39F6FE20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7704</Words>
  <Characters>41586</Characters>
  <Application>Microsoft Office Word</Application>
  <DocSecurity>4</DocSecurity>
  <Lines>346</Lines>
  <Paragraphs>98</Paragraphs>
  <ScaleCrop>false</ScaleCrop>
  <HeadingPairs>
    <vt:vector size="2" baseType="variant">
      <vt:variant>
        <vt:lpstr>Title</vt:lpstr>
      </vt:variant>
      <vt:variant>
        <vt:i4>1</vt:i4>
      </vt:variant>
    </vt:vector>
  </HeadingPairs>
  <TitlesOfParts>
    <vt:vector size="1" baseType="lpstr">
      <vt:lpstr>Statewide QSPR Performance Report</vt:lpstr>
    </vt:vector>
  </TitlesOfParts>
  <Company>Arkansas Department of Human Services</Company>
  <LinksUpToDate>false</LinksUpToDate>
  <CharactersWithSpaces>49192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QSPR Performance Report</dc:title>
  <dc:creator>Division of Children and Family Services</dc:creator>
  <cp:lastModifiedBy>Christin Harper</cp:lastModifiedBy>
  <cp:revision>2</cp:revision>
  <cp:lastPrinted>2017-06-13T13:50:00Z</cp:lastPrinted>
  <dcterms:created xsi:type="dcterms:W3CDTF">2020-03-05T18:30:00Z</dcterms:created>
  <dcterms:modified xsi:type="dcterms:W3CDTF">2020-03-05T18:30:00Z</dcterms:modified>
</cp:coreProperties>
</file>