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2189"/>
        <w:gridCol w:w="7166"/>
        <w:gridCol w:w="1620"/>
        <w:gridCol w:w="1980"/>
      </w:tblGrid>
      <w:tr w:rsidR="003E6AC6" w:rsidRPr="001D6F42" w14:paraId="36F140C6" w14:textId="77777777" w:rsidTr="00BB5FB8">
        <w:trPr>
          <w:tblHeader/>
        </w:trPr>
        <w:tc>
          <w:tcPr>
            <w:tcW w:w="12955" w:type="dxa"/>
            <w:gridSpan w:val="4"/>
            <w:vAlign w:val="center"/>
          </w:tcPr>
          <w:p w14:paraId="60113F3B" w14:textId="49374831" w:rsidR="003E6AC6" w:rsidRPr="003E6AC6" w:rsidRDefault="003E6AC6" w:rsidP="003E6AC6">
            <w:pPr>
              <w:jc w:val="center"/>
              <w:rPr>
                <w:rFonts w:cstheme="minorHAnsi"/>
                <w:b/>
                <w:bCs/>
                <w:color w:val="4472C4" w:themeColor="accent1"/>
              </w:rPr>
            </w:pPr>
            <w:r w:rsidRPr="003E6AC6">
              <w:rPr>
                <w:rFonts w:cstheme="minorHAnsi"/>
                <w:b/>
                <w:bCs/>
                <w:color w:val="4472C4" w:themeColor="accent1"/>
              </w:rPr>
              <w:t>This draft is a working document.  All information contained herein is subject to change and may differ substantially from the final document.  The information contained in this document should not be considered the position of views of the agency or the Governor.</w:t>
            </w:r>
          </w:p>
          <w:p w14:paraId="281E8C18" w14:textId="77777777" w:rsidR="003E6AC6" w:rsidRPr="000029D2" w:rsidRDefault="003E6AC6" w:rsidP="008323CA">
            <w:pPr>
              <w:jc w:val="center"/>
              <w:rPr>
                <w:rFonts w:cstheme="minorHAnsi"/>
                <w:b/>
                <w:bCs/>
              </w:rPr>
            </w:pPr>
          </w:p>
        </w:tc>
      </w:tr>
      <w:tr w:rsidR="001D6F42" w:rsidRPr="001D6F42" w14:paraId="7C509FA6" w14:textId="6E5D10A3" w:rsidTr="00E22FC4">
        <w:trPr>
          <w:tblHeader/>
        </w:trPr>
        <w:tc>
          <w:tcPr>
            <w:tcW w:w="2189" w:type="dxa"/>
            <w:vAlign w:val="center"/>
          </w:tcPr>
          <w:p w14:paraId="261CCAC2" w14:textId="3663C3F3" w:rsidR="001D6F42" w:rsidRPr="001D6F42" w:rsidRDefault="001D6F42" w:rsidP="008323CA">
            <w:pPr>
              <w:jc w:val="center"/>
              <w:rPr>
                <w:rFonts w:cstheme="minorHAnsi"/>
                <w:b/>
                <w:bCs/>
              </w:rPr>
            </w:pPr>
            <w:r w:rsidRPr="001D6F42">
              <w:rPr>
                <w:rFonts w:cstheme="minorHAnsi"/>
                <w:b/>
                <w:bCs/>
              </w:rPr>
              <w:t>Type</w:t>
            </w:r>
          </w:p>
        </w:tc>
        <w:tc>
          <w:tcPr>
            <w:tcW w:w="7166" w:type="dxa"/>
            <w:vAlign w:val="center"/>
          </w:tcPr>
          <w:p w14:paraId="0025E78C" w14:textId="45AC4012" w:rsidR="001D6F42" w:rsidRPr="001D6F42" w:rsidRDefault="001D6F42" w:rsidP="008323CA">
            <w:pPr>
              <w:jc w:val="center"/>
              <w:rPr>
                <w:rFonts w:cstheme="minorHAnsi"/>
                <w:b/>
                <w:bCs/>
              </w:rPr>
            </w:pPr>
            <w:r w:rsidRPr="001D6F42">
              <w:rPr>
                <w:rFonts w:cstheme="minorHAnsi"/>
                <w:b/>
                <w:bCs/>
              </w:rPr>
              <w:t>Purpose and Allowable Uses</w:t>
            </w:r>
          </w:p>
        </w:tc>
        <w:tc>
          <w:tcPr>
            <w:tcW w:w="1620" w:type="dxa"/>
            <w:vAlign w:val="center"/>
          </w:tcPr>
          <w:p w14:paraId="399B433A" w14:textId="0EE526C5" w:rsidR="001D6F42" w:rsidRPr="001D6F42" w:rsidRDefault="001D6F42" w:rsidP="008323CA">
            <w:pPr>
              <w:jc w:val="center"/>
              <w:rPr>
                <w:rFonts w:cstheme="minorHAnsi"/>
                <w:b/>
                <w:bCs/>
              </w:rPr>
            </w:pPr>
            <w:r w:rsidRPr="001D6F42">
              <w:rPr>
                <w:rFonts w:cstheme="minorHAnsi"/>
                <w:b/>
                <w:bCs/>
              </w:rPr>
              <w:t>Amount</w:t>
            </w:r>
          </w:p>
        </w:tc>
        <w:tc>
          <w:tcPr>
            <w:tcW w:w="1980" w:type="dxa"/>
            <w:vAlign w:val="center"/>
          </w:tcPr>
          <w:p w14:paraId="146EDE3E" w14:textId="61C45875" w:rsidR="001D6F42" w:rsidRPr="000029D2" w:rsidRDefault="001D6F42" w:rsidP="008323CA">
            <w:pPr>
              <w:jc w:val="center"/>
              <w:rPr>
                <w:rFonts w:cstheme="minorHAnsi"/>
                <w:b/>
                <w:bCs/>
              </w:rPr>
            </w:pPr>
            <w:r w:rsidRPr="000029D2">
              <w:rPr>
                <w:rFonts w:cstheme="minorHAnsi"/>
                <w:b/>
                <w:bCs/>
              </w:rPr>
              <w:t>Delivery Method</w:t>
            </w:r>
          </w:p>
        </w:tc>
      </w:tr>
      <w:tr w:rsidR="001D6F42" w:rsidRPr="001D6F42" w14:paraId="537AFCFC" w14:textId="50D66E47" w:rsidTr="00E22FC4">
        <w:tc>
          <w:tcPr>
            <w:tcW w:w="2189" w:type="dxa"/>
            <w:shd w:val="clear" w:color="auto" w:fill="D9D9D9" w:themeFill="background1" w:themeFillShade="D9"/>
          </w:tcPr>
          <w:p w14:paraId="14004ECC" w14:textId="11FFF27C" w:rsidR="001D6F42" w:rsidRPr="00D124E7" w:rsidRDefault="001D6F42">
            <w:pPr>
              <w:rPr>
                <w:rFonts w:cstheme="minorHAnsi"/>
                <w:b/>
                <w:bCs/>
              </w:rPr>
            </w:pPr>
            <w:r w:rsidRPr="00D124E7">
              <w:rPr>
                <w:rFonts w:cstheme="minorHAnsi"/>
                <w:b/>
                <w:bCs/>
              </w:rPr>
              <w:t>Maternal</w:t>
            </w:r>
          </w:p>
        </w:tc>
        <w:tc>
          <w:tcPr>
            <w:tcW w:w="7166" w:type="dxa"/>
            <w:shd w:val="clear" w:color="auto" w:fill="D9D9D9" w:themeFill="background1" w:themeFillShade="D9"/>
          </w:tcPr>
          <w:p w14:paraId="680CEEB3" w14:textId="77777777" w:rsidR="001D6F42" w:rsidRPr="000029D2" w:rsidRDefault="001D6F42">
            <w:pPr>
              <w:rPr>
                <w:rFonts w:cstheme="minorHAnsi"/>
              </w:rPr>
            </w:pPr>
          </w:p>
        </w:tc>
        <w:tc>
          <w:tcPr>
            <w:tcW w:w="1620" w:type="dxa"/>
            <w:shd w:val="clear" w:color="auto" w:fill="D9D9D9" w:themeFill="background1" w:themeFillShade="D9"/>
          </w:tcPr>
          <w:p w14:paraId="6ADB9271" w14:textId="49309690" w:rsidR="001D6F42" w:rsidRPr="000029D2" w:rsidRDefault="001D6F42">
            <w:pPr>
              <w:rPr>
                <w:rFonts w:cstheme="minorHAnsi"/>
              </w:rPr>
            </w:pPr>
          </w:p>
        </w:tc>
        <w:tc>
          <w:tcPr>
            <w:tcW w:w="1980" w:type="dxa"/>
            <w:shd w:val="clear" w:color="auto" w:fill="D9D9D9" w:themeFill="background1" w:themeFillShade="D9"/>
          </w:tcPr>
          <w:p w14:paraId="048DEAF2" w14:textId="77777777" w:rsidR="001D6F42" w:rsidRPr="000029D2" w:rsidRDefault="001D6F42">
            <w:pPr>
              <w:rPr>
                <w:rFonts w:cstheme="minorHAnsi"/>
              </w:rPr>
            </w:pPr>
          </w:p>
        </w:tc>
      </w:tr>
      <w:tr w:rsidR="001D6F42" w:rsidRPr="001D6F42" w14:paraId="0FB5674D" w14:textId="48411CDD" w:rsidTr="00E22FC4">
        <w:tc>
          <w:tcPr>
            <w:tcW w:w="2189" w:type="dxa"/>
          </w:tcPr>
          <w:p w14:paraId="3C09AD2C" w14:textId="1FE468B4" w:rsidR="001D6F42" w:rsidRPr="000029D2" w:rsidRDefault="001D6F42">
            <w:pPr>
              <w:rPr>
                <w:rFonts w:cstheme="minorHAnsi"/>
              </w:rPr>
            </w:pPr>
            <w:r w:rsidRPr="000029D2">
              <w:rPr>
                <w:rFonts w:cstheme="minorHAnsi"/>
              </w:rPr>
              <w:t>Start-up</w:t>
            </w:r>
          </w:p>
        </w:tc>
        <w:tc>
          <w:tcPr>
            <w:tcW w:w="7166" w:type="dxa"/>
          </w:tcPr>
          <w:p w14:paraId="008FB95E" w14:textId="759A2FFA" w:rsidR="001D6F42" w:rsidRPr="001D6F42" w:rsidRDefault="001D6F42">
            <w:pPr>
              <w:rPr>
                <w:rFonts w:cstheme="minorHAnsi"/>
              </w:rPr>
            </w:pPr>
            <w:r w:rsidRPr="001D6F42">
              <w:rPr>
                <w:rFonts w:eastAsia="Times New Roman" w:cstheme="minorHAnsi"/>
              </w:rPr>
              <w:t xml:space="preserve">Startup costs necessary to develop staff capacity and </w:t>
            </w:r>
            <w:r>
              <w:rPr>
                <w:rFonts w:eastAsia="Times New Roman" w:cstheme="minorHAnsi"/>
              </w:rPr>
              <w:t xml:space="preserve">the </w:t>
            </w:r>
            <w:r w:rsidRPr="001D6F42">
              <w:rPr>
                <w:rFonts w:eastAsia="Times New Roman" w:cstheme="minorHAnsi"/>
              </w:rPr>
              <w:t xml:space="preserve">infrastructure necessary to accept and serve clients. Allowable uses include: </w:t>
            </w:r>
          </w:p>
          <w:p w14:paraId="22B469D8" w14:textId="07DAD63A" w:rsidR="001D6F42" w:rsidRPr="001D6F42" w:rsidRDefault="001D6F42" w:rsidP="000476E5">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 xml:space="preserve">Salaries and fringe </w:t>
            </w:r>
            <w:r w:rsidR="00FE2003">
              <w:rPr>
                <w:rFonts w:asciiTheme="minorHAnsi" w:hAnsiTheme="minorHAnsi" w:cstheme="minorHAnsi"/>
                <w:sz w:val="22"/>
                <w:szCs w:val="22"/>
              </w:rPr>
              <w:t xml:space="preserve">during the start-up phase </w:t>
            </w:r>
            <w:r w:rsidRPr="001D6F42">
              <w:rPr>
                <w:rFonts w:asciiTheme="minorHAnsi" w:hAnsiTheme="minorHAnsi" w:cstheme="minorHAnsi"/>
                <w:sz w:val="22"/>
                <w:szCs w:val="22"/>
              </w:rPr>
              <w:t xml:space="preserve">for program staff, including </w:t>
            </w:r>
            <w:r w:rsidRPr="000029D2">
              <w:rPr>
                <w:rFonts w:asciiTheme="minorHAnsi" w:hAnsiTheme="minorHAnsi" w:cstheme="minorHAnsi"/>
                <w:sz w:val="22"/>
                <w:szCs w:val="22"/>
              </w:rPr>
              <w:t>program management, clerical and IT staff and home visitors</w:t>
            </w:r>
            <w:r w:rsidRPr="001D6F42">
              <w:rPr>
                <w:rFonts w:asciiTheme="minorHAnsi" w:hAnsiTheme="minorHAnsi" w:cstheme="minorHAnsi"/>
                <w:sz w:val="22"/>
                <w:szCs w:val="22"/>
              </w:rPr>
              <w:t xml:space="preserve"> </w:t>
            </w:r>
          </w:p>
          <w:p w14:paraId="273C80E8" w14:textId="769A90DD" w:rsidR="001D6F42" w:rsidRPr="001D6F42" w:rsidRDefault="001D6F42" w:rsidP="00E917FC">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Staff recruitment and training</w:t>
            </w:r>
          </w:p>
          <w:p w14:paraId="49929B38" w14:textId="52074915" w:rsidR="001D6F42" w:rsidRPr="000029D2" w:rsidRDefault="001D6F42" w:rsidP="00E917FC">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 xml:space="preserve">Information technology systems to allow for enrolling clients, </w:t>
            </w:r>
            <w:r>
              <w:rPr>
                <w:rFonts w:asciiTheme="minorHAnsi" w:hAnsiTheme="minorHAnsi" w:cstheme="minorHAnsi"/>
                <w:sz w:val="22"/>
                <w:szCs w:val="22"/>
              </w:rPr>
              <w:t>Health-Related Social Needs (HRSN)</w:t>
            </w:r>
            <w:r w:rsidRPr="000029D2">
              <w:rPr>
                <w:rFonts w:asciiTheme="minorHAnsi" w:hAnsiTheme="minorHAnsi" w:cstheme="minorHAnsi"/>
                <w:sz w:val="22"/>
                <w:szCs w:val="22"/>
              </w:rPr>
              <w:t xml:space="preserve"> screening and resource referral, tracking and monitoring program finances, reporting required program data and interfacing with community partner organization, if applicable </w:t>
            </w:r>
          </w:p>
          <w:p w14:paraId="7649D0AA" w14:textId="311C4989" w:rsidR="001D6F42" w:rsidRPr="000029D2" w:rsidRDefault="001D6F42" w:rsidP="00E917FC">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Program equipment and supplies</w:t>
            </w:r>
          </w:p>
          <w:p w14:paraId="2DEDB9F3" w14:textId="4E413455" w:rsidR="001D6F42" w:rsidRPr="000029D2" w:rsidRDefault="001D6F42" w:rsidP="00E917FC">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 xml:space="preserve">Activities associated with the formulation of partners/subcontractors, including capacity assessments, </w:t>
            </w:r>
          </w:p>
        </w:tc>
        <w:tc>
          <w:tcPr>
            <w:tcW w:w="1620" w:type="dxa"/>
          </w:tcPr>
          <w:p w14:paraId="5A455337" w14:textId="532E2FD4" w:rsidR="001D6F42" w:rsidRPr="001D6F42" w:rsidRDefault="001D6F42">
            <w:pPr>
              <w:rPr>
                <w:rFonts w:cstheme="minorHAnsi"/>
              </w:rPr>
            </w:pPr>
            <w:r w:rsidRPr="001D6F42">
              <w:rPr>
                <w:rFonts w:cstheme="minorHAnsi"/>
              </w:rPr>
              <w:t>2 X $50,000</w:t>
            </w:r>
          </w:p>
        </w:tc>
        <w:tc>
          <w:tcPr>
            <w:tcW w:w="1980" w:type="dxa"/>
          </w:tcPr>
          <w:p w14:paraId="309643D7" w14:textId="4B880786" w:rsidR="001D6F42" w:rsidRPr="000029D2" w:rsidRDefault="001D6F42">
            <w:pPr>
              <w:rPr>
                <w:rFonts w:cstheme="minorHAnsi"/>
              </w:rPr>
            </w:pPr>
            <w:r w:rsidRPr="001D6F42">
              <w:rPr>
                <w:rFonts w:cstheme="minorHAnsi"/>
              </w:rPr>
              <w:t xml:space="preserve">One-time </w:t>
            </w:r>
            <w:r w:rsidR="0085679D">
              <w:rPr>
                <w:rFonts w:cstheme="minorHAnsi"/>
              </w:rPr>
              <w:t>funding provided</w:t>
            </w:r>
            <w:r w:rsidRPr="001D6F42">
              <w:rPr>
                <w:rFonts w:cstheme="minorHAnsi"/>
              </w:rPr>
              <w:t xml:space="preserve"> at application approval/signed startup agreement and after readiness review</w:t>
            </w:r>
          </w:p>
        </w:tc>
      </w:tr>
      <w:tr w:rsidR="001D6F42" w:rsidRPr="001D6F42" w14:paraId="594C68BE" w14:textId="7E76B042" w:rsidTr="00E22FC4">
        <w:tc>
          <w:tcPr>
            <w:tcW w:w="2189" w:type="dxa"/>
          </w:tcPr>
          <w:p w14:paraId="6C3CABEA" w14:textId="60925DFB" w:rsidR="001D6F42" w:rsidRPr="000029D2" w:rsidRDefault="001D6F42">
            <w:pPr>
              <w:rPr>
                <w:rFonts w:cstheme="minorHAnsi"/>
              </w:rPr>
            </w:pPr>
            <w:r w:rsidRPr="000029D2">
              <w:rPr>
                <w:rFonts w:cstheme="minorHAnsi"/>
              </w:rPr>
              <w:t>Home-Visiting Services</w:t>
            </w:r>
          </w:p>
        </w:tc>
        <w:tc>
          <w:tcPr>
            <w:tcW w:w="7166" w:type="dxa"/>
          </w:tcPr>
          <w:p w14:paraId="628629D1" w14:textId="36818150" w:rsidR="001D6F42" w:rsidRPr="000029D2" w:rsidRDefault="001D6F42">
            <w:pPr>
              <w:rPr>
                <w:rFonts w:cstheme="minorHAnsi"/>
              </w:rPr>
            </w:pPr>
            <w:r w:rsidRPr="000029D2">
              <w:rPr>
                <w:rFonts w:cstheme="minorHAnsi"/>
              </w:rPr>
              <w:t xml:space="preserve">Costs necessary to provide home-visiting services, including: </w:t>
            </w:r>
          </w:p>
          <w:p w14:paraId="60DD8D03" w14:textId="79ED4809" w:rsidR="001D6F42" w:rsidRPr="000029D2" w:rsidRDefault="001D6F42" w:rsidP="005D414F">
            <w:pPr>
              <w:pStyle w:val="ListParagraph"/>
              <w:numPr>
                <w:ilvl w:val="0"/>
                <w:numId w:val="3"/>
              </w:numPr>
              <w:ind w:left="396"/>
              <w:rPr>
                <w:rFonts w:asciiTheme="minorHAnsi" w:eastAsiaTheme="minorEastAsia" w:hAnsiTheme="minorHAnsi" w:cstheme="minorHAnsi"/>
                <w:sz w:val="22"/>
                <w:szCs w:val="22"/>
              </w:rPr>
            </w:pPr>
            <w:r>
              <w:rPr>
                <w:rFonts w:asciiTheme="minorHAnsi" w:hAnsiTheme="minorHAnsi" w:cstheme="minorHAnsi"/>
                <w:sz w:val="22"/>
                <w:szCs w:val="22"/>
              </w:rPr>
              <w:t>S</w:t>
            </w:r>
            <w:r w:rsidRPr="001D6F42">
              <w:rPr>
                <w:rFonts w:asciiTheme="minorHAnsi" w:hAnsiTheme="minorHAnsi" w:cstheme="minorHAnsi"/>
                <w:sz w:val="22"/>
                <w:szCs w:val="22"/>
              </w:rPr>
              <w:t>taff salaries, including for program management, clerical and IT staff and home visitors</w:t>
            </w:r>
          </w:p>
          <w:p w14:paraId="1BE604B0" w14:textId="24D17E27" w:rsidR="001D6F42" w:rsidRPr="001D6F42" w:rsidRDefault="001D6F42" w:rsidP="005D414F">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Staff recruitment and training</w:t>
            </w:r>
          </w:p>
          <w:p w14:paraId="5882C5C4" w14:textId="1BFA32C1" w:rsidR="001D6F42" w:rsidRPr="000029D2" w:rsidRDefault="00FE2003" w:rsidP="005D414F">
            <w:pPr>
              <w:pStyle w:val="ListParagraph"/>
              <w:numPr>
                <w:ilvl w:val="0"/>
                <w:numId w:val="3"/>
              </w:numPr>
              <w:ind w:left="396"/>
              <w:rPr>
                <w:rFonts w:asciiTheme="minorHAnsi" w:hAnsiTheme="minorHAnsi" w:cstheme="minorHAnsi"/>
                <w:sz w:val="22"/>
                <w:szCs w:val="22"/>
              </w:rPr>
            </w:pPr>
            <w:r>
              <w:rPr>
                <w:rFonts w:asciiTheme="minorHAnsi" w:hAnsiTheme="minorHAnsi" w:cstheme="minorHAnsi"/>
                <w:sz w:val="22"/>
                <w:szCs w:val="22"/>
              </w:rPr>
              <w:t xml:space="preserve">Routine functionality of </w:t>
            </w:r>
            <w:r w:rsidR="001D6F42" w:rsidRPr="001D6F42">
              <w:rPr>
                <w:rFonts w:asciiTheme="minorHAnsi" w:hAnsiTheme="minorHAnsi" w:cstheme="minorHAnsi"/>
                <w:sz w:val="22"/>
                <w:szCs w:val="22"/>
              </w:rPr>
              <w:t xml:space="preserve">IT systems to allow for enrolling clients, </w:t>
            </w:r>
            <w:r w:rsidR="001D6F42">
              <w:rPr>
                <w:rFonts w:asciiTheme="minorHAnsi" w:hAnsiTheme="minorHAnsi" w:cstheme="minorHAnsi"/>
                <w:sz w:val="22"/>
                <w:szCs w:val="22"/>
              </w:rPr>
              <w:t>HRSN</w:t>
            </w:r>
            <w:r w:rsidR="001D6F42" w:rsidRPr="001D6F42">
              <w:rPr>
                <w:rFonts w:asciiTheme="minorHAnsi" w:hAnsiTheme="minorHAnsi" w:cstheme="minorHAnsi"/>
                <w:sz w:val="22"/>
                <w:szCs w:val="22"/>
              </w:rPr>
              <w:t xml:space="preserve"> screening and resource referral, tracking and monitoring program finances, reporting required program data and interfacing with community partner organization, if applicable</w:t>
            </w:r>
          </w:p>
          <w:p w14:paraId="06955B3C" w14:textId="1BBD4A70" w:rsidR="001D6F42" w:rsidRDefault="00AF3124" w:rsidP="005D414F">
            <w:pPr>
              <w:pStyle w:val="ListParagraph"/>
              <w:numPr>
                <w:ilvl w:val="0"/>
                <w:numId w:val="3"/>
              </w:numPr>
              <w:ind w:left="396"/>
              <w:rPr>
                <w:rFonts w:asciiTheme="minorHAnsi" w:hAnsiTheme="minorHAnsi" w:cstheme="minorHAnsi"/>
                <w:sz w:val="22"/>
                <w:szCs w:val="22"/>
              </w:rPr>
            </w:pPr>
            <w:r>
              <w:rPr>
                <w:rFonts w:asciiTheme="minorHAnsi" w:hAnsiTheme="minorHAnsi" w:cstheme="minorHAnsi"/>
                <w:sz w:val="22"/>
                <w:szCs w:val="22"/>
              </w:rPr>
              <w:t xml:space="preserve">Ongoing </w:t>
            </w:r>
            <w:r w:rsidR="00D124E7">
              <w:rPr>
                <w:rFonts w:asciiTheme="minorHAnsi" w:hAnsiTheme="minorHAnsi" w:cstheme="minorHAnsi"/>
                <w:sz w:val="22"/>
                <w:szCs w:val="22"/>
              </w:rPr>
              <w:t>p</w:t>
            </w:r>
            <w:r w:rsidR="001D6F42" w:rsidRPr="001D6F42">
              <w:rPr>
                <w:rFonts w:asciiTheme="minorHAnsi" w:hAnsiTheme="minorHAnsi" w:cstheme="minorHAnsi"/>
                <w:sz w:val="22"/>
                <w:szCs w:val="22"/>
              </w:rPr>
              <w:t>rogram equipment and supplies</w:t>
            </w:r>
          </w:p>
          <w:p w14:paraId="030E574B" w14:textId="77777777" w:rsidR="0085679D" w:rsidRDefault="0085679D" w:rsidP="005D414F">
            <w:pPr>
              <w:rPr>
                <w:rFonts w:cstheme="minorHAnsi"/>
              </w:rPr>
            </w:pPr>
          </w:p>
          <w:p w14:paraId="0CC1E3FD" w14:textId="2563DC7C" w:rsidR="005D414F" w:rsidRDefault="005D414F" w:rsidP="005D414F">
            <w:pPr>
              <w:rPr>
                <w:rFonts w:cstheme="minorHAnsi"/>
              </w:rPr>
            </w:pPr>
            <w:r>
              <w:rPr>
                <w:rFonts w:cstheme="minorHAnsi"/>
              </w:rPr>
              <w:t>Funding for the following HRSN services</w:t>
            </w:r>
          </w:p>
          <w:p w14:paraId="6FB11A1F" w14:textId="7844198F" w:rsidR="005D414F" w:rsidRPr="00485C4C" w:rsidRDefault="005D414F" w:rsidP="005D414F">
            <w:pPr>
              <w:pStyle w:val="OutlineL3"/>
              <w:numPr>
                <w:ilvl w:val="0"/>
                <w:numId w:val="10"/>
              </w:numPr>
              <w:spacing w:after="0"/>
              <w:ind w:left="396"/>
              <w:rPr>
                <w:rFonts w:asciiTheme="minorHAnsi" w:hAnsiTheme="minorHAnsi" w:cstheme="minorHAnsi"/>
                <w:sz w:val="22"/>
                <w:szCs w:val="22"/>
              </w:rPr>
            </w:pPr>
            <w:r w:rsidRPr="00485C4C">
              <w:rPr>
                <w:rFonts w:asciiTheme="minorHAnsi" w:hAnsiTheme="minorHAnsi" w:cstheme="minorHAnsi"/>
                <w:sz w:val="22"/>
                <w:szCs w:val="22"/>
              </w:rPr>
              <w:t>Housing supports, including:</w:t>
            </w:r>
          </w:p>
          <w:p w14:paraId="055411FE" w14:textId="494B7AC1" w:rsidR="005D414F" w:rsidRPr="00485C4C" w:rsidRDefault="005D414F" w:rsidP="005D414F">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Pre-tenancy and tenancy sustaining services, including tenant rights education and eviction prevention</w:t>
            </w:r>
          </w:p>
          <w:p w14:paraId="0542EFC7" w14:textId="77777777" w:rsidR="005D414F" w:rsidRPr="00485C4C" w:rsidRDefault="005D414F" w:rsidP="005D414F">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Housing transition navigation services</w:t>
            </w:r>
          </w:p>
          <w:p w14:paraId="73F5691A" w14:textId="5AB5B5C4" w:rsidR="005D414F" w:rsidRPr="00485C4C" w:rsidRDefault="005D414F" w:rsidP="005D414F">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One-time transition and moving costs (e.g., security deposits, first-month’s rent, utilities activation fees, movers, and pest eradication)</w:t>
            </w:r>
          </w:p>
          <w:p w14:paraId="289764A0" w14:textId="77777777" w:rsidR="005D414F" w:rsidRPr="00485C4C" w:rsidDel="007E52A7" w:rsidRDefault="005D414F" w:rsidP="005D414F">
            <w:pPr>
              <w:pStyle w:val="OutlineL3"/>
              <w:numPr>
                <w:ilvl w:val="0"/>
                <w:numId w:val="12"/>
              </w:numPr>
              <w:spacing w:after="0"/>
              <w:ind w:left="846"/>
              <w:rPr>
                <w:rFonts w:asciiTheme="minorHAnsi" w:hAnsiTheme="minorHAnsi" w:cstheme="minorHAnsi"/>
                <w:sz w:val="22"/>
                <w:szCs w:val="22"/>
              </w:rPr>
            </w:pPr>
            <w:r w:rsidRPr="00485C4C">
              <w:rPr>
                <w:rFonts w:asciiTheme="minorHAnsi" w:hAnsiTheme="minorHAnsi" w:cstheme="minorHAnsi"/>
                <w:sz w:val="22"/>
                <w:szCs w:val="22"/>
              </w:rPr>
              <w:lastRenderedPageBreak/>
              <w:t>Housing deposits to secure housing, including application and inspection fees and fess to secure needed identification</w:t>
            </w:r>
          </w:p>
          <w:p w14:paraId="2D6DEDB9" w14:textId="2ACE7411" w:rsidR="005D414F" w:rsidRPr="00485C4C" w:rsidDel="001B6C97" w:rsidRDefault="005D414F" w:rsidP="005D414F">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 xml:space="preserve"> Nutrition Supports, including nutrition counseling and education, </w:t>
            </w:r>
            <w:r w:rsidR="00485C4C" w:rsidRPr="00485C4C">
              <w:rPr>
                <w:rFonts w:asciiTheme="minorHAnsi" w:hAnsiTheme="minorHAnsi" w:cstheme="minorHAnsi"/>
                <w:sz w:val="22"/>
                <w:szCs w:val="22"/>
              </w:rPr>
              <w:t>such as</w:t>
            </w:r>
            <w:r w:rsidRPr="00485C4C">
              <w:rPr>
                <w:rFonts w:asciiTheme="minorHAnsi" w:hAnsiTheme="minorHAnsi" w:cstheme="minorHAnsi"/>
                <w:sz w:val="22"/>
                <w:szCs w:val="22"/>
              </w:rPr>
              <w:t xml:space="preserve"> healthy meal preparation</w:t>
            </w:r>
          </w:p>
          <w:p w14:paraId="1752C4F6" w14:textId="07B9DCB2" w:rsidR="005D414F" w:rsidRPr="005962F2" w:rsidRDefault="005D414F" w:rsidP="00485C4C">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Case management, outreach, and education including linkages to other state and federal benefit program application assistance, and benefit program application fees</w:t>
            </w:r>
          </w:p>
        </w:tc>
        <w:tc>
          <w:tcPr>
            <w:tcW w:w="1620" w:type="dxa"/>
          </w:tcPr>
          <w:p w14:paraId="6E9C2591" w14:textId="5CE880F6" w:rsidR="001D6F42" w:rsidRPr="001D6F42" w:rsidRDefault="001D6F42">
            <w:pPr>
              <w:rPr>
                <w:rFonts w:cstheme="minorHAnsi"/>
              </w:rPr>
            </w:pPr>
            <w:r w:rsidRPr="001D6F42">
              <w:rPr>
                <w:rFonts w:cstheme="minorHAnsi"/>
              </w:rPr>
              <w:lastRenderedPageBreak/>
              <w:t>$300</w:t>
            </w:r>
          </w:p>
        </w:tc>
        <w:tc>
          <w:tcPr>
            <w:tcW w:w="1980" w:type="dxa"/>
          </w:tcPr>
          <w:p w14:paraId="775A2BBA" w14:textId="2EB65A12" w:rsidR="001D6F42" w:rsidRPr="001D6F42" w:rsidRDefault="001D6F42">
            <w:pPr>
              <w:rPr>
                <w:rFonts w:cstheme="minorHAnsi"/>
              </w:rPr>
            </w:pPr>
            <w:r w:rsidRPr="001D6F42">
              <w:rPr>
                <w:rFonts w:cstheme="minorHAnsi"/>
              </w:rPr>
              <w:t>Per member per month</w:t>
            </w:r>
          </w:p>
        </w:tc>
      </w:tr>
      <w:tr w:rsidR="001D6F42" w:rsidRPr="001D6F42" w14:paraId="19F780EC" w14:textId="141A71ED" w:rsidTr="00E22FC4">
        <w:tc>
          <w:tcPr>
            <w:tcW w:w="2189" w:type="dxa"/>
          </w:tcPr>
          <w:p w14:paraId="1CDC4E0F" w14:textId="45C38BC7" w:rsidR="001D6F42" w:rsidRPr="000029D2" w:rsidRDefault="001D6F42">
            <w:pPr>
              <w:rPr>
                <w:rFonts w:cstheme="minorHAnsi"/>
              </w:rPr>
            </w:pPr>
            <w:r w:rsidRPr="000029D2">
              <w:rPr>
                <w:rFonts w:cstheme="minorHAnsi"/>
              </w:rPr>
              <w:t>Transportation</w:t>
            </w:r>
          </w:p>
        </w:tc>
        <w:tc>
          <w:tcPr>
            <w:tcW w:w="7166" w:type="dxa"/>
          </w:tcPr>
          <w:p w14:paraId="58A99CAA" w14:textId="50F50F43" w:rsidR="00BE0323" w:rsidRDefault="00BE0323" w:rsidP="00BE0323">
            <w:pPr>
              <w:pStyle w:val="ListParagraph"/>
              <w:numPr>
                <w:ilvl w:val="0"/>
                <w:numId w:val="7"/>
              </w:numPr>
              <w:ind w:left="396"/>
              <w:rPr>
                <w:rFonts w:asciiTheme="minorHAnsi" w:hAnsiTheme="minorHAnsi" w:cstheme="minorHAnsi"/>
                <w:sz w:val="22"/>
                <w:szCs w:val="22"/>
              </w:rPr>
            </w:pPr>
            <w:r>
              <w:rPr>
                <w:rFonts w:asciiTheme="minorHAnsi" w:hAnsiTheme="minorHAnsi" w:cstheme="minorHAnsi"/>
                <w:sz w:val="22"/>
                <w:szCs w:val="22"/>
              </w:rPr>
              <w:t>Transportation to home visits</w:t>
            </w:r>
          </w:p>
          <w:p w14:paraId="775FFB41" w14:textId="13E159AA" w:rsidR="001D6F42" w:rsidRPr="00BE0323" w:rsidRDefault="00485C4C" w:rsidP="00BE0323">
            <w:pPr>
              <w:pStyle w:val="ListParagraph"/>
              <w:numPr>
                <w:ilvl w:val="0"/>
                <w:numId w:val="7"/>
              </w:numPr>
              <w:ind w:left="396"/>
              <w:rPr>
                <w:rFonts w:asciiTheme="minorHAnsi" w:hAnsiTheme="minorHAnsi" w:cstheme="minorHAnsi"/>
                <w:sz w:val="22"/>
                <w:szCs w:val="22"/>
              </w:rPr>
            </w:pPr>
            <w:r>
              <w:rPr>
                <w:rFonts w:asciiTheme="minorHAnsi" w:hAnsiTheme="minorHAnsi" w:cstheme="minorHAnsi"/>
                <w:sz w:val="22"/>
                <w:szCs w:val="22"/>
              </w:rPr>
              <w:t>C</w:t>
            </w:r>
            <w:r w:rsidRPr="001D6F42">
              <w:rPr>
                <w:rFonts w:asciiTheme="minorHAnsi" w:hAnsiTheme="minorHAnsi" w:cstheme="minorHAnsi"/>
                <w:sz w:val="22"/>
                <w:szCs w:val="22"/>
              </w:rPr>
              <w:t xml:space="preserve">lient </w:t>
            </w:r>
            <w:r>
              <w:rPr>
                <w:rFonts w:asciiTheme="minorHAnsi" w:hAnsiTheme="minorHAnsi" w:cstheme="minorHAnsi"/>
                <w:sz w:val="22"/>
                <w:szCs w:val="22"/>
              </w:rPr>
              <w:t>t</w:t>
            </w:r>
            <w:r w:rsidR="001D6F42" w:rsidRPr="001D6F42">
              <w:rPr>
                <w:rFonts w:asciiTheme="minorHAnsi" w:hAnsiTheme="minorHAnsi" w:cstheme="minorHAnsi"/>
                <w:sz w:val="22"/>
                <w:szCs w:val="22"/>
              </w:rPr>
              <w:t>ransport</w:t>
            </w:r>
            <w:r>
              <w:rPr>
                <w:rFonts w:asciiTheme="minorHAnsi" w:hAnsiTheme="minorHAnsi" w:cstheme="minorHAnsi"/>
                <w:sz w:val="22"/>
                <w:szCs w:val="22"/>
              </w:rPr>
              <w:t>ation</w:t>
            </w:r>
            <w:r w:rsidR="001D6F42" w:rsidRPr="001D6F42">
              <w:rPr>
                <w:rFonts w:asciiTheme="minorHAnsi" w:hAnsiTheme="minorHAnsi" w:cstheme="minorHAnsi"/>
                <w:sz w:val="22"/>
                <w:szCs w:val="22"/>
              </w:rPr>
              <w:t xml:space="preserve"> to non-medical appointments (excluding transportation to job interviews), or to obtain other </w:t>
            </w:r>
            <w:r w:rsidR="001D6F42">
              <w:rPr>
                <w:rFonts w:asciiTheme="minorHAnsi" w:hAnsiTheme="minorHAnsi" w:cstheme="minorHAnsi"/>
                <w:sz w:val="22"/>
                <w:szCs w:val="22"/>
              </w:rPr>
              <w:t>HRSN</w:t>
            </w:r>
            <w:r w:rsidR="001D6F42" w:rsidRPr="001D6F42">
              <w:rPr>
                <w:rFonts w:asciiTheme="minorHAnsi" w:hAnsiTheme="minorHAnsi" w:cstheme="minorHAnsi"/>
                <w:sz w:val="22"/>
                <w:szCs w:val="22"/>
              </w:rPr>
              <w:t xml:space="preserve"> supports. Allowable uses of this funding include:</w:t>
            </w:r>
          </w:p>
          <w:p w14:paraId="3836DBBC" w14:textId="62EA71C0" w:rsidR="001D6F42" w:rsidRPr="001D6F42" w:rsidRDefault="001D6F42" w:rsidP="008E3692">
            <w:pPr>
              <w:pStyle w:val="ListParagraph"/>
              <w:numPr>
                <w:ilvl w:val="1"/>
                <w:numId w:val="1"/>
              </w:numPr>
              <w:ind w:left="756"/>
              <w:rPr>
                <w:rFonts w:asciiTheme="minorHAnsi" w:hAnsiTheme="minorHAnsi" w:cstheme="minorHAnsi"/>
                <w:sz w:val="22"/>
                <w:szCs w:val="22"/>
              </w:rPr>
            </w:pPr>
            <w:r w:rsidRPr="001D6F42">
              <w:rPr>
                <w:rFonts w:asciiTheme="minorHAnsi" w:hAnsiTheme="minorHAnsi" w:cstheme="minorHAnsi"/>
                <w:sz w:val="22"/>
                <w:szCs w:val="22"/>
              </w:rPr>
              <w:t>Life360 vehicle gasoline or mileage</w:t>
            </w:r>
          </w:p>
          <w:p w14:paraId="3EAC7B58" w14:textId="3233F98D" w:rsidR="001D6F42" w:rsidRPr="005962F2" w:rsidRDefault="001D6F42" w:rsidP="008E3692">
            <w:pPr>
              <w:pStyle w:val="ListParagraph"/>
              <w:numPr>
                <w:ilvl w:val="1"/>
                <w:numId w:val="1"/>
              </w:numPr>
              <w:ind w:left="756"/>
              <w:rPr>
                <w:rFonts w:asciiTheme="minorHAnsi" w:hAnsiTheme="minorHAnsi" w:cstheme="minorHAnsi"/>
                <w:sz w:val="22"/>
                <w:szCs w:val="22"/>
              </w:rPr>
            </w:pPr>
            <w:r w:rsidRPr="001D6F42">
              <w:rPr>
                <w:rFonts w:asciiTheme="minorHAnsi" w:hAnsiTheme="minorHAnsi" w:cstheme="minorHAnsi"/>
                <w:sz w:val="22"/>
                <w:szCs w:val="22"/>
              </w:rPr>
              <w:t>Bus travel, car rental, and taxi or other driver service for non-medical appointments (excluding transportation to job interviews)</w:t>
            </w:r>
          </w:p>
        </w:tc>
        <w:tc>
          <w:tcPr>
            <w:tcW w:w="1620" w:type="dxa"/>
          </w:tcPr>
          <w:p w14:paraId="4AAB5A15" w14:textId="6257413E" w:rsidR="001D6F42" w:rsidRPr="001D6F42" w:rsidRDefault="001D6F42">
            <w:pPr>
              <w:rPr>
                <w:rFonts w:cstheme="minorHAnsi"/>
              </w:rPr>
            </w:pPr>
            <w:r w:rsidRPr="001D6F42">
              <w:rPr>
                <w:rFonts w:cstheme="minorHAnsi"/>
              </w:rPr>
              <w:t>$50,000 maximum</w:t>
            </w:r>
          </w:p>
        </w:tc>
        <w:tc>
          <w:tcPr>
            <w:tcW w:w="1980" w:type="dxa"/>
          </w:tcPr>
          <w:p w14:paraId="2AABC028" w14:textId="450432A9" w:rsidR="001D6F42" w:rsidRPr="000029D2" w:rsidRDefault="001D6F42">
            <w:pPr>
              <w:rPr>
                <w:rFonts w:cstheme="minorHAnsi"/>
              </w:rPr>
            </w:pPr>
            <w:r w:rsidRPr="001D6F42">
              <w:rPr>
                <w:rFonts w:cstheme="minorHAnsi"/>
              </w:rPr>
              <w:t>Annual amount</w:t>
            </w:r>
            <w:r w:rsidR="00FE2003">
              <w:rPr>
                <w:rFonts w:cstheme="minorHAnsi"/>
              </w:rPr>
              <w:t xml:space="preserve"> based on submitted and approved budget</w:t>
            </w:r>
            <w:r w:rsidRPr="001D6F42">
              <w:rPr>
                <w:rFonts w:cstheme="minorHAnsi"/>
              </w:rPr>
              <w:t>, divided by 12 and provided monthly</w:t>
            </w:r>
          </w:p>
        </w:tc>
      </w:tr>
      <w:tr w:rsidR="001D6F42" w:rsidRPr="001D6F42" w14:paraId="4C0C5965" w14:textId="77777777" w:rsidTr="00E22FC4">
        <w:tc>
          <w:tcPr>
            <w:tcW w:w="2189" w:type="dxa"/>
            <w:shd w:val="clear" w:color="auto" w:fill="D9D9D9" w:themeFill="background1" w:themeFillShade="D9"/>
          </w:tcPr>
          <w:p w14:paraId="7EAEEB2F" w14:textId="5EA847EA" w:rsidR="001D6F42" w:rsidRPr="00D124E7" w:rsidRDefault="001D6F42">
            <w:pPr>
              <w:rPr>
                <w:rFonts w:cstheme="minorHAnsi"/>
                <w:b/>
                <w:bCs/>
              </w:rPr>
            </w:pPr>
            <w:r w:rsidRPr="00D124E7">
              <w:rPr>
                <w:rFonts w:cstheme="minorHAnsi"/>
                <w:b/>
                <w:bCs/>
              </w:rPr>
              <w:t>Rural</w:t>
            </w:r>
          </w:p>
        </w:tc>
        <w:tc>
          <w:tcPr>
            <w:tcW w:w="7166" w:type="dxa"/>
            <w:shd w:val="clear" w:color="auto" w:fill="D9D9D9" w:themeFill="background1" w:themeFillShade="D9"/>
          </w:tcPr>
          <w:p w14:paraId="20136751" w14:textId="77777777" w:rsidR="001D6F42" w:rsidRPr="000029D2" w:rsidRDefault="001D6F42">
            <w:pPr>
              <w:rPr>
                <w:rFonts w:cstheme="minorHAnsi"/>
              </w:rPr>
            </w:pPr>
          </w:p>
        </w:tc>
        <w:tc>
          <w:tcPr>
            <w:tcW w:w="1620" w:type="dxa"/>
            <w:shd w:val="clear" w:color="auto" w:fill="D9D9D9" w:themeFill="background1" w:themeFillShade="D9"/>
          </w:tcPr>
          <w:p w14:paraId="17816D6D" w14:textId="7A04AAA5" w:rsidR="001D6F42" w:rsidRPr="005962F2" w:rsidRDefault="001D6F42">
            <w:pPr>
              <w:rPr>
                <w:rFonts w:cstheme="minorHAnsi"/>
              </w:rPr>
            </w:pPr>
          </w:p>
        </w:tc>
        <w:tc>
          <w:tcPr>
            <w:tcW w:w="1980" w:type="dxa"/>
            <w:shd w:val="clear" w:color="auto" w:fill="D9D9D9" w:themeFill="background1" w:themeFillShade="D9"/>
          </w:tcPr>
          <w:p w14:paraId="5B4FB21B" w14:textId="77777777" w:rsidR="001D6F42" w:rsidRPr="005962F2" w:rsidRDefault="001D6F42">
            <w:pPr>
              <w:rPr>
                <w:rFonts w:cstheme="minorHAnsi"/>
              </w:rPr>
            </w:pPr>
          </w:p>
        </w:tc>
      </w:tr>
      <w:tr w:rsidR="001D6F42" w:rsidRPr="001D6F42" w14:paraId="2C6C3215" w14:textId="77777777" w:rsidTr="00E22FC4">
        <w:tc>
          <w:tcPr>
            <w:tcW w:w="2189" w:type="dxa"/>
          </w:tcPr>
          <w:p w14:paraId="745A81B3" w14:textId="3246547F" w:rsidR="001D6F42" w:rsidRPr="000029D2" w:rsidRDefault="001D6F42" w:rsidP="00A32FC9">
            <w:pPr>
              <w:rPr>
                <w:rFonts w:cstheme="minorHAnsi"/>
              </w:rPr>
            </w:pPr>
            <w:r w:rsidRPr="000029D2">
              <w:rPr>
                <w:rFonts w:cstheme="minorHAnsi"/>
              </w:rPr>
              <w:t>Startup</w:t>
            </w:r>
          </w:p>
        </w:tc>
        <w:tc>
          <w:tcPr>
            <w:tcW w:w="7166" w:type="dxa"/>
          </w:tcPr>
          <w:p w14:paraId="0797A135" w14:textId="77777777" w:rsidR="001D6F42" w:rsidRPr="001D6F42" w:rsidRDefault="001D6F42" w:rsidP="003B0C7B">
            <w:pPr>
              <w:rPr>
                <w:rFonts w:cstheme="minorHAnsi"/>
              </w:rPr>
            </w:pPr>
            <w:r w:rsidRPr="001D6F42">
              <w:rPr>
                <w:rFonts w:cstheme="minorHAnsi"/>
              </w:rPr>
              <w:t xml:space="preserve">Startup costs necessary to develop staff capacity and infrastructure necessary to accept and serve clients. Allowable uses include: </w:t>
            </w:r>
          </w:p>
          <w:p w14:paraId="5F101B95" w14:textId="58BC4393" w:rsidR="001D6F42" w:rsidRPr="000029D2" w:rsidRDefault="001D6F42" w:rsidP="003B0C7B">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Salaries and fringe for program staff</w:t>
            </w:r>
            <w:r w:rsidR="006E3DCA">
              <w:rPr>
                <w:rFonts w:asciiTheme="minorHAnsi" w:hAnsiTheme="minorHAnsi" w:cstheme="minorHAnsi"/>
                <w:sz w:val="22"/>
                <w:szCs w:val="22"/>
              </w:rPr>
              <w:t xml:space="preserve"> during the star</w:t>
            </w:r>
            <w:r w:rsidR="00D124E7">
              <w:rPr>
                <w:rFonts w:asciiTheme="minorHAnsi" w:hAnsiTheme="minorHAnsi" w:cstheme="minorHAnsi"/>
                <w:sz w:val="22"/>
                <w:szCs w:val="22"/>
              </w:rPr>
              <w:t>t</w:t>
            </w:r>
            <w:r w:rsidR="006E3DCA">
              <w:rPr>
                <w:rFonts w:asciiTheme="minorHAnsi" w:hAnsiTheme="minorHAnsi" w:cstheme="minorHAnsi"/>
                <w:sz w:val="22"/>
                <w:szCs w:val="22"/>
              </w:rPr>
              <w:t>up phase</w:t>
            </w:r>
            <w:r w:rsidRPr="001D6F42">
              <w:rPr>
                <w:rFonts w:asciiTheme="minorHAnsi" w:hAnsiTheme="minorHAnsi" w:cstheme="minorHAnsi"/>
                <w:sz w:val="22"/>
                <w:szCs w:val="22"/>
              </w:rPr>
              <w:t xml:space="preserve">, including program management, clerical and IT staff, care coordinators, </w:t>
            </w:r>
            <w:r>
              <w:rPr>
                <w:rFonts w:asciiTheme="minorHAnsi" w:hAnsiTheme="minorHAnsi" w:cstheme="minorHAnsi"/>
                <w:sz w:val="22"/>
                <w:szCs w:val="22"/>
              </w:rPr>
              <w:t>HRSN</w:t>
            </w:r>
            <w:r w:rsidRPr="001D6F42">
              <w:rPr>
                <w:rFonts w:asciiTheme="minorHAnsi" w:hAnsiTheme="minorHAnsi" w:cstheme="minorHAnsi"/>
                <w:sz w:val="22"/>
                <w:szCs w:val="22"/>
              </w:rPr>
              <w:t xml:space="preserve"> screeners and ACU staff</w:t>
            </w:r>
            <w:r w:rsidRPr="000029D2">
              <w:rPr>
                <w:rFonts w:asciiTheme="minorHAnsi" w:hAnsiTheme="minorHAnsi" w:cstheme="minorHAnsi"/>
                <w:sz w:val="22"/>
                <w:szCs w:val="22"/>
              </w:rPr>
              <w:t xml:space="preserve"> </w:t>
            </w:r>
          </w:p>
          <w:p w14:paraId="07FF1F37" w14:textId="77777777" w:rsidR="001D6F42" w:rsidRPr="000029D2" w:rsidRDefault="001D6F42" w:rsidP="003B0C7B">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Staff recruitment and training</w:t>
            </w:r>
          </w:p>
          <w:p w14:paraId="615D2CA9" w14:textId="588B9337" w:rsidR="001D6F42" w:rsidRPr="000029D2" w:rsidRDefault="001D6F42" w:rsidP="003B0C7B">
            <w:pPr>
              <w:pStyle w:val="ListParagraph"/>
              <w:numPr>
                <w:ilvl w:val="0"/>
                <w:numId w:val="3"/>
              </w:numPr>
              <w:ind w:left="396"/>
              <w:rPr>
                <w:rFonts w:asciiTheme="minorHAnsi" w:hAnsiTheme="minorHAnsi" w:cstheme="minorHAnsi"/>
                <w:sz w:val="22"/>
                <w:szCs w:val="22"/>
              </w:rPr>
            </w:pPr>
            <w:r w:rsidRPr="005962F2">
              <w:rPr>
                <w:rFonts w:asciiTheme="minorHAnsi" w:hAnsiTheme="minorHAnsi" w:cstheme="minorHAnsi"/>
                <w:sz w:val="22"/>
                <w:szCs w:val="22"/>
              </w:rPr>
              <w:t xml:space="preserve">Information technology systems to allow for enrolling clients, </w:t>
            </w:r>
            <w:r>
              <w:rPr>
                <w:rFonts w:asciiTheme="minorHAnsi" w:hAnsiTheme="minorHAnsi" w:cstheme="minorHAnsi"/>
                <w:sz w:val="22"/>
                <w:szCs w:val="22"/>
              </w:rPr>
              <w:t>HRSN</w:t>
            </w:r>
            <w:r w:rsidRPr="000029D2">
              <w:rPr>
                <w:rFonts w:asciiTheme="minorHAnsi" w:hAnsiTheme="minorHAnsi" w:cstheme="minorHAnsi"/>
                <w:sz w:val="22"/>
                <w:szCs w:val="22"/>
              </w:rPr>
              <w:t xml:space="preserve"> screening and resource referral, tracking and monitoring program finances, and reporting required program data</w:t>
            </w:r>
          </w:p>
          <w:p w14:paraId="7FEF3930" w14:textId="09525269" w:rsidR="001D6F42" w:rsidRPr="005962F2" w:rsidRDefault="001D6F42" w:rsidP="00485C4C">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Program equipment and supplies, including for ACU operations</w:t>
            </w:r>
          </w:p>
        </w:tc>
        <w:tc>
          <w:tcPr>
            <w:tcW w:w="1620" w:type="dxa"/>
          </w:tcPr>
          <w:p w14:paraId="4F2EA36B" w14:textId="236F4D25" w:rsidR="001D6F42" w:rsidRPr="000029D2" w:rsidRDefault="001D6F42" w:rsidP="00A32FC9">
            <w:pPr>
              <w:rPr>
                <w:rFonts w:cstheme="minorHAnsi"/>
              </w:rPr>
            </w:pPr>
            <w:r w:rsidRPr="000029D2">
              <w:rPr>
                <w:rFonts w:cstheme="minorHAnsi"/>
              </w:rPr>
              <w:t>2 X $50,000</w:t>
            </w:r>
          </w:p>
        </w:tc>
        <w:tc>
          <w:tcPr>
            <w:tcW w:w="1980" w:type="dxa"/>
          </w:tcPr>
          <w:p w14:paraId="4B400F38" w14:textId="00D16913" w:rsidR="001D6F42" w:rsidRPr="000029D2" w:rsidRDefault="001D6F42" w:rsidP="00A32FC9">
            <w:pPr>
              <w:rPr>
                <w:rFonts w:cstheme="minorHAnsi"/>
              </w:rPr>
            </w:pPr>
            <w:r w:rsidRPr="000029D2">
              <w:rPr>
                <w:rFonts w:cstheme="minorHAnsi"/>
              </w:rPr>
              <w:t>One</w:t>
            </w:r>
            <w:r w:rsidR="00485C4C">
              <w:rPr>
                <w:rFonts w:cstheme="minorHAnsi"/>
              </w:rPr>
              <w:t>-</w:t>
            </w:r>
            <w:r w:rsidRPr="000029D2">
              <w:rPr>
                <w:rFonts w:cstheme="minorHAnsi"/>
              </w:rPr>
              <w:t xml:space="preserve">time </w:t>
            </w:r>
            <w:r w:rsidR="00485C4C">
              <w:rPr>
                <w:rFonts w:cstheme="minorHAnsi"/>
              </w:rPr>
              <w:t xml:space="preserve">funding </w:t>
            </w:r>
            <w:r w:rsidR="0085679D">
              <w:rPr>
                <w:rFonts w:cstheme="minorHAnsi"/>
              </w:rPr>
              <w:t xml:space="preserve">provided </w:t>
            </w:r>
            <w:r w:rsidRPr="000029D2">
              <w:rPr>
                <w:rFonts w:cstheme="minorHAnsi"/>
              </w:rPr>
              <w:t>at application approval/signed startup agreement and after readiness review</w:t>
            </w:r>
          </w:p>
        </w:tc>
      </w:tr>
      <w:tr w:rsidR="001D6F42" w:rsidRPr="001D6F42" w14:paraId="51C77F35" w14:textId="77777777" w:rsidTr="00E22FC4">
        <w:tc>
          <w:tcPr>
            <w:tcW w:w="2189" w:type="dxa"/>
          </w:tcPr>
          <w:p w14:paraId="6878CF48" w14:textId="5193AD81" w:rsidR="001D6F42" w:rsidRPr="001D6F42" w:rsidRDefault="001D6F42" w:rsidP="00A32FC9">
            <w:pPr>
              <w:rPr>
                <w:rFonts w:cstheme="minorHAnsi"/>
              </w:rPr>
            </w:pPr>
            <w:r w:rsidRPr="000029D2">
              <w:rPr>
                <w:rFonts w:cstheme="minorHAnsi"/>
              </w:rPr>
              <w:t xml:space="preserve">Intensive Care Coordination and </w:t>
            </w:r>
            <w:r>
              <w:rPr>
                <w:rFonts w:cstheme="minorHAnsi"/>
              </w:rPr>
              <w:t>HRSN</w:t>
            </w:r>
            <w:r w:rsidRPr="001D6F42">
              <w:rPr>
                <w:rFonts w:cstheme="minorHAnsi"/>
              </w:rPr>
              <w:t xml:space="preserve"> Screening</w:t>
            </w:r>
          </w:p>
        </w:tc>
        <w:tc>
          <w:tcPr>
            <w:tcW w:w="7166" w:type="dxa"/>
          </w:tcPr>
          <w:p w14:paraId="091AD5AD" w14:textId="630D996C" w:rsidR="001D6F42" w:rsidRPr="001D6F42" w:rsidRDefault="001D6F42" w:rsidP="00DA3CD9">
            <w:pPr>
              <w:rPr>
                <w:rFonts w:cstheme="minorHAnsi"/>
              </w:rPr>
            </w:pPr>
            <w:r w:rsidRPr="001D6F42">
              <w:rPr>
                <w:rFonts w:cstheme="minorHAnsi"/>
              </w:rPr>
              <w:t xml:space="preserve">Costs necessary to provide intensive care coordination services and community </w:t>
            </w:r>
            <w:r>
              <w:rPr>
                <w:rFonts w:cstheme="minorHAnsi"/>
              </w:rPr>
              <w:t>HRSN</w:t>
            </w:r>
            <w:r w:rsidRPr="001D6F42">
              <w:rPr>
                <w:rFonts w:cstheme="minorHAnsi"/>
              </w:rPr>
              <w:t xml:space="preserve"> screening, including: </w:t>
            </w:r>
          </w:p>
          <w:p w14:paraId="65840033" w14:textId="3F11DCD8" w:rsidR="001D6F42" w:rsidRPr="005962F2" w:rsidRDefault="001D6F42" w:rsidP="00E917FC">
            <w:pPr>
              <w:pStyle w:val="ListParagraph"/>
              <w:numPr>
                <w:ilvl w:val="0"/>
                <w:numId w:val="3"/>
              </w:numPr>
              <w:ind w:left="396"/>
              <w:rPr>
                <w:rFonts w:asciiTheme="minorHAnsi" w:eastAsiaTheme="minorEastAsia" w:hAnsiTheme="minorHAnsi" w:cstheme="minorHAnsi"/>
                <w:sz w:val="22"/>
                <w:szCs w:val="22"/>
              </w:rPr>
            </w:pPr>
            <w:r w:rsidRPr="000029D2">
              <w:rPr>
                <w:rFonts w:asciiTheme="minorHAnsi" w:hAnsiTheme="minorHAnsi" w:cstheme="minorHAnsi"/>
                <w:sz w:val="22"/>
                <w:szCs w:val="22"/>
              </w:rPr>
              <w:t xml:space="preserve">Staff salaries, including for program management, clerical and IT staff, community resource specialists, care coordinators and </w:t>
            </w:r>
            <w:r>
              <w:rPr>
                <w:rFonts w:asciiTheme="minorHAnsi" w:hAnsiTheme="minorHAnsi" w:cstheme="minorHAnsi"/>
                <w:sz w:val="22"/>
                <w:szCs w:val="22"/>
              </w:rPr>
              <w:t>HRSN</w:t>
            </w:r>
            <w:r w:rsidRPr="000029D2">
              <w:rPr>
                <w:rFonts w:asciiTheme="minorHAnsi" w:hAnsiTheme="minorHAnsi" w:cstheme="minorHAnsi"/>
                <w:sz w:val="22"/>
                <w:szCs w:val="22"/>
              </w:rPr>
              <w:t xml:space="preserve"> screeners</w:t>
            </w:r>
          </w:p>
          <w:p w14:paraId="140880C4" w14:textId="25E739D5" w:rsidR="001D6F42" w:rsidRPr="001D6F42" w:rsidRDefault="001D6F42" w:rsidP="00E917FC">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Staff recruitment and training</w:t>
            </w:r>
          </w:p>
          <w:p w14:paraId="2540A9AF" w14:textId="3CD8B2A5" w:rsidR="001D6F42" w:rsidRPr="005962F2" w:rsidRDefault="00FE2003" w:rsidP="00B05B1D">
            <w:pPr>
              <w:pStyle w:val="ListParagraph"/>
              <w:numPr>
                <w:ilvl w:val="0"/>
                <w:numId w:val="3"/>
              </w:numPr>
              <w:ind w:left="396"/>
              <w:rPr>
                <w:rFonts w:asciiTheme="minorHAnsi" w:hAnsiTheme="minorHAnsi" w:cstheme="minorHAnsi"/>
                <w:sz w:val="22"/>
                <w:szCs w:val="22"/>
              </w:rPr>
            </w:pPr>
            <w:r>
              <w:rPr>
                <w:rFonts w:asciiTheme="minorHAnsi" w:hAnsiTheme="minorHAnsi" w:cstheme="minorHAnsi"/>
                <w:sz w:val="22"/>
                <w:szCs w:val="22"/>
              </w:rPr>
              <w:lastRenderedPageBreak/>
              <w:t xml:space="preserve">Routine functionality of </w:t>
            </w:r>
            <w:r w:rsidR="001D6F42" w:rsidRPr="001D6F42">
              <w:rPr>
                <w:rFonts w:asciiTheme="minorHAnsi" w:hAnsiTheme="minorHAnsi" w:cstheme="minorHAnsi"/>
                <w:sz w:val="22"/>
                <w:szCs w:val="22"/>
              </w:rPr>
              <w:t xml:space="preserve">IT systems to </w:t>
            </w:r>
            <w:r w:rsidR="001D6F42" w:rsidRPr="000029D2">
              <w:rPr>
                <w:rFonts w:asciiTheme="minorHAnsi" w:hAnsiTheme="minorHAnsi" w:cstheme="minorHAnsi"/>
                <w:sz w:val="22"/>
                <w:szCs w:val="22"/>
              </w:rPr>
              <w:t xml:space="preserve">allow for enrolling clients, </w:t>
            </w:r>
            <w:r w:rsidR="001D6F42">
              <w:rPr>
                <w:rFonts w:asciiTheme="minorHAnsi" w:hAnsiTheme="minorHAnsi" w:cstheme="minorHAnsi"/>
                <w:sz w:val="22"/>
                <w:szCs w:val="22"/>
              </w:rPr>
              <w:t>HRSN</w:t>
            </w:r>
            <w:r w:rsidR="001D6F42" w:rsidRPr="000029D2">
              <w:rPr>
                <w:rFonts w:asciiTheme="minorHAnsi" w:hAnsiTheme="minorHAnsi" w:cstheme="minorHAnsi"/>
                <w:sz w:val="22"/>
                <w:szCs w:val="22"/>
              </w:rPr>
              <w:t xml:space="preserve"> screening and resource referral, tracking and monitoring program finances, and reporting required program data</w:t>
            </w:r>
          </w:p>
          <w:p w14:paraId="6DBEBA34" w14:textId="47398AC6" w:rsidR="001D6F42" w:rsidRPr="001D6F42" w:rsidRDefault="00D124E7" w:rsidP="00E917FC">
            <w:pPr>
              <w:pStyle w:val="ListParagraph"/>
              <w:numPr>
                <w:ilvl w:val="0"/>
                <w:numId w:val="3"/>
              </w:numPr>
              <w:ind w:left="396"/>
              <w:rPr>
                <w:rFonts w:asciiTheme="minorHAnsi" w:hAnsiTheme="minorHAnsi" w:cstheme="minorHAnsi"/>
                <w:sz w:val="22"/>
                <w:szCs w:val="22"/>
              </w:rPr>
            </w:pPr>
            <w:r>
              <w:rPr>
                <w:rFonts w:asciiTheme="minorHAnsi" w:hAnsiTheme="minorHAnsi" w:cstheme="minorHAnsi"/>
                <w:sz w:val="22"/>
                <w:szCs w:val="22"/>
              </w:rPr>
              <w:t>Ongoing p</w:t>
            </w:r>
            <w:r w:rsidR="001D6F42" w:rsidRPr="001D6F42">
              <w:rPr>
                <w:rFonts w:asciiTheme="minorHAnsi" w:hAnsiTheme="minorHAnsi" w:cstheme="minorHAnsi"/>
                <w:sz w:val="22"/>
                <w:szCs w:val="22"/>
              </w:rPr>
              <w:t>rogram equipment and supplies</w:t>
            </w:r>
          </w:p>
          <w:p w14:paraId="12CD763B" w14:textId="34EC1672" w:rsidR="0085679D" w:rsidRDefault="0085679D" w:rsidP="00485C4C">
            <w:pPr>
              <w:rPr>
                <w:rFonts w:cstheme="minorHAnsi"/>
              </w:rPr>
            </w:pPr>
          </w:p>
          <w:p w14:paraId="6025E41C" w14:textId="77777777" w:rsidR="00E22FC4" w:rsidRDefault="00E22FC4" w:rsidP="00485C4C">
            <w:pPr>
              <w:rPr>
                <w:rFonts w:cstheme="minorHAnsi"/>
              </w:rPr>
            </w:pPr>
          </w:p>
          <w:p w14:paraId="1D73A20F" w14:textId="35AB9705" w:rsidR="00485C4C" w:rsidRDefault="00485C4C" w:rsidP="00485C4C">
            <w:pPr>
              <w:rPr>
                <w:rFonts w:cstheme="minorHAnsi"/>
              </w:rPr>
            </w:pPr>
            <w:r>
              <w:rPr>
                <w:rFonts w:cstheme="minorHAnsi"/>
              </w:rPr>
              <w:t>Funding for the following HRSN services</w:t>
            </w:r>
          </w:p>
          <w:p w14:paraId="781CD2D7" w14:textId="77777777" w:rsidR="00485C4C" w:rsidRPr="00485C4C" w:rsidRDefault="00485C4C" w:rsidP="00485C4C">
            <w:pPr>
              <w:pStyle w:val="OutlineL3"/>
              <w:numPr>
                <w:ilvl w:val="0"/>
                <w:numId w:val="10"/>
              </w:numPr>
              <w:spacing w:after="0"/>
              <w:ind w:left="396"/>
              <w:rPr>
                <w:rFonts w:asciiTheme="minorHAnsi" w:hAnsiTheme="minorHAnsi" w:cstheme="minorHAnsi"/>
                <w:sz w:val="22"/>
                <w:szCs w:val="22"/>
              </w:rPr>
            </w:pPr>
            <w:r w:rsidRPr="00485C4C">
              <w:rPr>
                <w:rFonts w:asciiTheme="minorHAnsi" w:hAnsiTheme="minorHAnsi" w:cstheme="minorHAnsi"/>
                <w:sz w:val="22"/>
                <w:szCs w:val="22"/>
              </w:rPr>
              <w:t>Housing supports, including:</w:t>
            </w:r>
          </w:p>
          <w:p w14:paraId="04D1878F" w14:textId="7777777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Pre-tenancy and tenancy sustaining services, including tenant rights education and eviction prevention</w:t>
            </w:r>
          </w:p>
          <w:p w14:paraId="754A1964" w14:textId="7777777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Housing transition navigation services</w:t>
            </w:r>
          </w:p>
          <w:p w14:paraId="36BD041F" w14:textId="7777777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One-time transition and moving costs (e.g., security deposits, first-month’s rent, utilities activation fees, movers, and pest eradication)</w:t>
            </w:r>
          </w:p>
          <w:p w14:paraId="0C53D73B" w14:textId="77777777" w:rsidR="00485C4C" w:rsidRPr="00485C4C" w:rsidDel="007E52A7" w:rsidRDefault="00485C4C" w:rsidP="00485C4C">
            <w:pPr>
              <w:pStyle w:val="OutlineL3"/>
              <w:numPr>
                <w:ilvl w:val="0"/>
                <w:numId w:val="12"/>
              </w:numPr>
              <w:spacing w:after="0"/>
              <w:ind w:left="846"/>
              <w:rPr>
                <w:rFonts w:asciiTheme="minorHAnsi" w:hAnsiTheme="minorHAnsi" w:cstheme="minorHAnsi"/>
                <w:sz w:val="22"/>
                <w:szCs w:val="22"/>
              </w:rPr>
            </w:pPr>
            <w:r w:rsidRPr="00485C4C">
              <w:rPr>
                <w:rFonts w:asciiTheme="minorHAnsi" w:hAnsiTheme="minorHAnsi" w:cstheme="minorHAnsi"/>
                <w:sz w:val="22"/>
                <w:szCs w:val="22"/>
              </w:rPr>
              <w:t>Housing deposits to secure housing, including application and inspection fees and fess to secure needed identification</w:t>
            </w:r>
          </w:p>
          <w:p w14:paraId="0774AE3B" w14:textId="77777777" w:rsidR="00485C4C" w:rsidRPr="00485C4C" w:rsidDel="001B6C97" w:rsidRDefault="00485C4C" w:rsidP="00485C4C">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 xml:space="preserve"> Nutrition Supports, including nutrition counseling and education, such as healthy meal preparation</w:t>
            </w:r>
          </w:p>
          <w:p w14:paraId="06F1FB9B" w14:textId="6F3D7FFC" w:rsidR="001D6F42" w:rsidRPr="001D6F42" w:rsidRDefault="00485C4C" w:rsidP="0085679D">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Case management, outreach, and education including linkages to other state and federal benefit program application assistance, and benefit program application fees</w:t>
            </w:r>
          </w:p>
        </w:tc>
        <w:tc>
          <w:tcPr>
            <w:tcW w:w="1620" w:type="dxa"/>
          </w:tcPr>
          <w:p w14:paraId="7DB4E60D" w14:textId="4936BDC6" w:rsidR="001D6F42" w:rsidRPr="000029D2" w:rsidRDefault="0085679D" w:rsidP="0085679D">
            <w:pPr>
              <w:rPr>
                <w:rFonts w:cstheme="minorHAnsi"/>
              </w:rPr>
            </w:pPr>
            <w:r>
              <w:rPr>
                <w:rFonts w:cstheme="minorHAnsi"/>
              </w:rPr>
              <w:lastRenderedPageBreak/>
              <w:t>$1,014,000 maximum</w:t>
            </w:r>
          </w:p>
        </w:tc>
        <w:tc>
          <w:tcPr>
            <w:tcW w:w="1980" w:type="dxa"/>
          </w:tcPr>
          <w:p w14:paraId="1FEA8C51" w14:textId="16820D12" w:rsidR="001D6F42" w:rsidRPr="005962F2" w:rsidRDefault="001D6F42" w:rsidP="00A32FC9">
            <w:pPr>
              <w:rPr>
                <w:rFonts w:cstheme="minorHAnsi"/>
              </w:rPr>
            </w:pPr>
            <w:r w:rsidRPr="000029D2">
              <w:rPr>
                <w:rFonts w:cstheme="minorHAnsi"/>
              </w:rPr>
              <w:t>Annual amount</w:t>
            </w:r>
            <w:r w:rsidR="00FE2003">
              <w:rPr>
                <w:rFonts w:cstheme="minorHAnsi"/>
              </w:rPr>
              <w:t xml:space="preserve"> based on submitted and approved budget</w:t>
            </w:r>
            <w:r w:rsidRPr="000029D2">
              <w:rPr>
                <w:rFonts w:cstheme="minorHAnsi"/>
              </w:rPr>
              <w:t xml:space="preserve">, </w:t>
            </w:r>
            <w:r w:rsidRPr="000029D2">
              <w:rPr>
                <w:rFonts w:cstheme="minorHAnsi"/>
              </w:rPr>
              <w:lastRenderedPageBreak/>
              <w:t>divided by 12 and provided monthly</w:t>
            </w:r>
          </w:p>
        </w:tc>
      </w:tr>
      <w:tr w:rsidR="001D6F42" w:rsidRPr="001D6F42" w14:paraId="64F8A9AD" w14:textId="77777777" w:rsidTr="00E22FC4">
        <w:tc>
          <w:tcPr>
            <w:tcW w:w="2189" w:type="dxa"/>
          </w:tcPr>
          <w:p w14:paraId="46EB1718" w14:textId="77777777" w:rsidR="001D6F42" w:rsidRPr="000029D2" w:rsidRDefault="001D6F42" w:rsidP="008323CA">
            <w:pPr>
              <w:rPr>
                <w:rFonts w:cstheme="minorHAnsi"/>
              </w:rPr>
            </w:pPr>
            <w:r w:rsidRPr="000029D2">
              <w:rPr>
                <w:rFonts w:cstheme="minorHAnsi"/>
              </w:rPr>
              <w:lastRenderedPageBreak/>
              <w:t>Transportation</w:t>
            </w:r>
          </w:p>
        </w:tc>
        <w:tc>
          <w:tcPr>
            <w:tcW w:w="7166" w:type="dxa"/>
          </w:tcPr>
          <w:p w14:paraId="48A415F0" w14:textId="1D3DCB2C" w:rsidR="001D6F42" w:rsidRPr="001D6F42" w:rsidRDefault="001D6F42" w:rsidP="008E3692">
            <w:pPr>
              <w:pStyle w:val="ListParagraph"/>
              <w:ind w:left="0"/>
              <w:rPr>
                <w:rFonts w:asciiTheme="minorHAnsi" w:hAnsiTheme="minorHAnsi" w:cstheme="minorHAnsi"/>
                <w:sz w:val="22"/>
                <w:szCs w:val="22"/>
              </w:rPr>
            </w:pPr>
            <w:r w:rsidRPr="001D6F42">
              <w:rPr>
                <w:rFonts w:asciiTheme="minorHAnsi" w:hAnsiTheme="minorHAnsi" w:cstheme="minorHAnsi"/>
                <w:sz w:val="22"/>
                <w:szCs w:val="22"/>
              </w:rPr>
              <w:t xml:space="preserve">Costs necessary to transport clients to non-medical appointments (excluding transportation to job interviews), or to obtain other </w:t>
            </w:r>
            <w:r>
              <w:rPr>
                <w:rFonts w:asciiTheme="minorHAnsi" w:hAnsiTheme="minorHAnsi" w:cstheme="minorHAnsi"/>
                <w:sz w:val="22"/>
                <w:szCs w:val="22"/>
              </w:rPr>
              <w:t>HRSN</w:t>
            </w:r>
            <w:r w:rsidRPr="001D6F42">
              <w:rPr>
                <w:rFonts w:asciiTheme="minorHAnsi" w:hAnsiTheme="minorHAnsi" w:cstheme="minorHAnsi"/>
                <w:sz w:val="22"/>
                <w:szCs w:val="22"/>
              </w:rPr>
              <w:t>-related supports. Allowable uses of this funding include:</w:t>
            </w:r>
          </w:p>
          <w:p w14:paraId="469C8223" w14:textId="7273C70F" w:rsidR="001D6F42" w:rsidRPr="001D6F42" w:rsidRDefault="001D6F42" w:rsidP="00E917FC">
            <w:pPr>
              <w:pStyle w:val="ListParagraph"/>
              <w:numPr>
                <w:ilvl w:val="0"/>
                <w:numId w:val="5"/>
              </w:numPr>
              <w:ind w:left="396"/>
              <w:rPr>
                <w:rFonts w:asciiTheme="minorHAnsi" w:hAnsiTheme="minorHAnsi" w:cstheme="minorHAnsi"/>
                <w:sz w:val="22"/>
                <w:szCs w:val="22"/>
              </w:rPr>
            </w:pPr>
            <w:r w:rsidRPr="001D6F42">
              <w:rPr>
                <w:rFonts w:asciiTheme="minorHAnsi" w:hAnsiTheme="minorHAnsi" w:cstheme="minorHAnsi"/>
                <w:sz w:val="22"/>
                <w:szCs w:val="22"/>
              </w:rPr>
              <w:t xml:space="preserve">Life360 vehicle </w:t>
            </w:r>
            <w:r w:rsidR="0085679D">
              <w:rPr>
                <w:rFonts w:asciiTheme="minorHAnsi" w:hAnsiTheme="minorHAnsi" w:cstheme="minorHAnsi"/>
                <w:sz w:val="22"/>
                <w:szCs w:val="22"/>
              </w:rPr>
              <w:t>g</w:t>
            </w:r>
            <w:r w:rsidR="0085679D" w:rsidRPr="001D6F42">
              <w:rPr>
                <w:rFonts w:asciiTheme="minorHAnsi" w:hAnsiTheme="minorHAnsi" w:cstheme="minorHAnsi"/>
                <w:sz w:val="22"/>
                <w:szCs w:val="22"/>
              </w:rPr>
              <w:t xml:space="preserve">asoline </w:t>
            </w:r>
            <w:r w:rsidRPr="001D6F42">
              <w:rPr>
                <w:rFonts w:asciiTheme="minorHAnsi" w:hAnsiTheme="minorHAnsi" w:cstheme="minorHAnsi"/>
                <w:sz w:val="22"/>
                <w:szCs w:val="22"/>
              </w:rPr>
              <w:t>or mileage</w:t>
            </w:r>
          </w:p>
          <w:p w14:paraId="0BB70831" w14:textId="280DF84D" w:rsidR="001D6F42" w:rsidRPr="001D6F42" w:rsidRDefault="001D6F42" w:rsidP="00E917FC">
            <w:pPr>
              <w:pStyle w:val="ListParagraph"/>
              <w:numPr>
                <w:ilvl w:val="0"/>
                <w:numId w:val="5"/>
              </w:numPr>
              <w:ind w:left="396"/>
              <w:rPr>
                <w:rFonts w:asciiTheme="minorHAnsi" w:hAnsiTheme="minorHAnsi" w:cstheme="minorHAnsi"/>
                <w:sz w:val="22"/>
                <w:szCs w:val="22"/>
              </w:rPr>
            </w:pPr>
            <w:r w:rsidRPr="001D6F42">
              <w:rPr>
                <w:rFonts w:asciiTheme="minorHAnsi" w:hAnsiTheme="minorHAnsi" w:cstheme="minorHAnsi"/>
                <w:sz w:val="22"/>
                <w:szCs w:val="22"/>
              </w:rPr>
              <w:t xml:space="preserve">Bus travel, car rental, and taxi or other driver service for non-medical appointments </w:t>
            </w:r>
          </w:p>
        </w:tc>
        <w:tc>
          <w:tcPr>
            <w:tcW w:w="1620" w:type="dxa"/>
          </w:tcPr>
          <w:p w14:paraId="43E1E024" w14:textId="46E09E76" w:rsidR="001D6F42" w:rsidRPr="000029D2" w:rsidRDefault="001D6F42" w:rsidP="008323CA">
            <w:pPr>
              <w:rPr>
                <w:rFonts w:cstheme="minorHAnsi"/>
              </w:rPr>
            </w:pPr>
            <w:r w:rsidRPr="000029D2">
              <w:rPr>
                <w:rFonts w:cstheme="minorHAnsi"/>
              </w:rPr>
              <w:t>$50,000 maximum</w:t>
            </w:r>
          </w:p>
        </w:tc>
        <w:tc>
          <w:tcPr>
            <w:tcW w:w="1980" w:type="dxa"/>
          </w:tcPr>
          <w:p w14:paraId="4B60988C" w14:textId="6673AAC9" w:rsidR="001D6F42" w:rsidRPr="005962F2" w:rsidRDefault="001D6F42" w:rsidP="008323CA">
            <w:pPr>
              <w:rPr>
                <w:rFonts w:cstheme="minorHAnsi"/>
              </w:rPr>
            </w:pPr>
            <w:r w:rsidRPr="005962F2">
              <w:rPr>
                <w:rFonts w:cstheme="minorHAnsi"/>
              </w:rPr>
              <w:t>Annual amount</w:t>
            </w:r>
            <w:r w:rsidR="00FE2003">
              <w:rPr>
                <w:rFonts w:cstheme="minorHAnsi"/>
              </w:rPr>
              <w:t xml:space="preserve"> based on submitted and approved budget</w:t>
            </w:r>
            <w:r w:rsidRPr="005962F2">
              <w:rPr>
                <w:rFonts w:cstheme="minorHAnsi"/>
              </w:rPr>
              <w:t>, divided by 12 and provided monthly</w:t>
            </w:r>
          </w:p>
        </w:tc>
      </w:tr>
      <w:tr w:rsidR="001D6F42" w:rsidRPr="001D6F42" w14:paraId="2D5015A1" w14:textId="77777777" w:rsidTr="00E22FC4">
        <w:tc>
          <w:tcPr>
            <w:tcW w:w="2189" w:type="dxa"/>
          </w:tcPr>
          <w:p w14:paraId="45B94FB2" w14:textId="7EF2D676" w:rsidR="001D6F42" w:rsidRPr="000029D2" w:rsidRDefault="001D6F42" w:rsidP="008323CA">
            <w:pPr>
              <w:rPr>
                <w:rFonts w:cstheme="minorHAnsi"/>
              </w:rPr>
            </w:pPr>
            <w:r w:rsidRPr="001D6F42">
              <w:rPr>
                <w:rFonts w:cstheme="minorHAnsi"/>
              </w:rPr>
              <w:t>Emergency Equipment and Training</w:t>
            </w:r>
          </w:p>
        </w:tc>
        <w:tc>
          <w:tcPr>
            <w:tcW w:w="7166" w:type="dxa"/>
          </w:tcPr>
          <w:p w14:paraId="4B9D73B6" w14:textId="20EE47D7" w:rsidR="001D6F42" w:rsidRPr="005962F2" w:rsidRDefault="001D6F42" w:rsidP="008323CA">
            <w:pPr>
              <w:rPr>
                <w:rFonts w:cstheme="minorHAnsi"/>
              </w:rPr>
            </w:pPr>
            <w:r w:rsidRPr="005962F2">
              <w:rPr>
                <w:rFonts w:cstheme="minorHAnsi"/>
              </w:rPr>
              <w:t>Costs related to improving emergency medical services in the rural communities that the Life360 serves. Allowable uses of this funding include:</w:t>
            </w:r>
          </w:p>
          <w:p w14:paraId="185E5CCE" w14:textId="09624188" w:rsidR="001D6F42" w:rsidRPr="001D6F42" w:rsidRDefault="001D6F42" w:rsidP="00B14C5F">
            <w:pPr>
              <w:pStyle w:val="ListParagraph"/>
              <w:numPr>
                <w:ilvl w:val="0"/>
                <w:numId w:val="4"/>
              </w:numPr>
              <w:ind w:left="396"/>
              <w:rPr>
                <w:rFonts w:asciiTheme="minorHAnsi" w:hAnsiTheme="minorHAnsi" w:cstheme="minorHAnsi"/>
                <w:sz w:val="22"/>
                <w:szCs w:val="22"/>
              </w:rPr>
            </w:pPr>
            <w:r w:rsidRPr="001D6F42">
              <w:rPr>
                <w:rFonts w:asciiTheme="minorHAnsi" w:hAnsiTheme="minorHAnsi" w:cstheme="minorHAnsi"/>
                <w:sz w:val="22"/>
                <w:szCs w:val="22"/>
              </w:rPr>
              <w:t>Equipment necessary for mobile crisis services</w:t>
            </w:r>
          </w:p>
          <w:p w14:paraId="40643D55" w14:textId="75BE13FB" w:rsidR="001D6F42" w:rsidRPr="001D6F42" w:rsidRDefault="001D6F42" w:rsidP="00B14C5F">
            <w:pPr>
              <w:pStyle w:val="ListParagraph"/>
              <w:numPr>
                <w:ilvl w:val="0"/>
                <w:numId w:val="4"/>
              </w:numPr>
              <w:ind w:left="396"/>
              <w:rPr>
                <w:rFonts w:asciiTheme="minorHAnsi" w:hAnsiTheme="minorHAnsi" w:cstheme="minorHAnsi"/>
                <w:sz w:val="22"/>
                <w:szCs w:val="22"/>
              </w:rPr>
            </w:pPr>
            <w:r w:rsidRPr="001D6F42">
              <w:rPr>
                <w:rFonts w:asciiTheme="minorHAnsi" w:hAnsiTheme="minorHAnsi" w:cstheme="minorHAnsi"/>
                <w:sz w:val="22"/>
                <w:szCs w:val="22"/>
              </w:rPr>
              <w:lastRenderedPageBreak/>
              <w:t>Equipment necessary for the delivery of medical services through telemedicine</w:t>
            </w:r>
            <w:r w:rsidRPr="005962F2">
              <w:rPr>
                <w:rFonts w:asciiTheme="minorHAnsi" w:hAnsiTheme="minorHAnsi" w:cstheme="minorHAnsi"/>
                <w:sz w:val="22"/>
                <w:szCs w:val="22"/>
              </w:rPr>
              <w:t>.</w:t>
            </w:r>
            <w:r w:rsidRPr="001D6F42">
              <w:rPr>
                <w:rFonts w:asciiTheme="minorHAnsi" w:hAnsiTheme="minorHAnsi" w:cstheme="minorHAnsi"/>
                <w:sz w:val="22"/>
                <w:szCs w:val="22"/>
              </w:rPr>
              <w:t xml:space="preserve"> </w:t>
            </w:r>
          </w:p>
          <w:p w14:paraId="39A119CE" w14:textId="7ACE441D" w:rsidR="001D6F42" w:rsidRPr="005962F2" w:rsidRDefault="001D6F42" w:rsidP="00E917FC">
            <w:pPr>
              <w:pStyle w:val="ListParagraph"/>
              <w:numPr>
                <w:ilvl w:val="0"/>
                <w:numId w:val="4"/>
              </w:numPr>
              <w:ind w:left="396"/>
              <w:rPr>
                <w:rFonts w:asciiTheme="minorHAnsi" w:hAnsiTheme="minorHAnsi" w:cstheme="minorHAnsi"/>
                <w:sz w:val="22"/>
                <w:szCs w:val="22"/>
              </w:rPr>
            </w:pPr>
            <w:r w:rsidRPr="001D6F42">
              <w:rPr>
                <w:rFonts w:asciiTheme="minorHAnsi" w:hAnsiTheme="minorHAnsi" w:cstheme="minorHAnsi"/>
                <w:sz w:val="22"/>
                <w:szCs w:val="22"/>
              </w:rPr>
              <w:t>Training necessary for appropriate use of equipment described above</w:t>
            </w:r>
          </w:p>
        </w:tc>
        <w:tc>
          <w:tcPr>
            <w:tcW w:w="1620" w:type="dxa"/>
          </w:tcPr>
          <w:p w14:paraId="71333A79" w14:textId="7EEDED3F" w:rsidR="001D6F42" w:rsidRPr="001D6F42" w:rsidRDefault="001D6F42" w:rsidP="008323CA">
            <w:pPr>
              <w:rPr>
                <w:rFonts w:cstheme="minorHAnsi"/>
              </w:rPr>
            </w:pPr>
            <w:r w:rsidRPr="001D6F42">
              <w:rPr>
                <w:rFonts w:cstheme="minorHAnsi"/>
              </w:rPr>
              <w:lastRenderedPageBreak/>
              <w:t>$50,000 maximum</w:t>
            </w:r>
          </w:p>
        </w:tc>
        <w:tc>
          <w:tcPr>
            <w:tcW w:w="1980" w:type="dxa"/>
          </w:tcPr>
          <w:p w14:paraId="555739DA" w14:textId="2204717C" w:rsidR="001D6F42" w:rsidRPr="001D6F42" w:rsidRDefault="001D6F42" w:rsidP="008323CA">
            <w:pPr>
              <w:rPr>
                <w:rFonts w:cstheme="minorHAnsi"/>
              </w:rPr>
            </w:pPr>
            <w:r w:rsidRPr="001D6F42">
              <w:rPr>
                <w:rFonts w:cstheme="minorHAnsi"/>
              </w:rPr>
              <w:t>Annual amount</w:t>
            </w:r>
            <w:r w:rsidR="00FE2003">
              <w:rPr>
                <w:rFonts w:cstheme="minorHAnsi"/>
              </w:rPr>
              <w:t xml:space="preserve"> based on submitted and approved budget</w:t>
            </w:r>
            <w:r w:rsidRPr="001D6F42">
              <w:rPr>
                <w:rFonts w:cstheme="minorHAnsi"/>
              </w:rPr>
              <w:t xml:space="preserve">, </w:t>
            </w:r>
            <w:r w:rsidRPr="001D6F42">
              <w:rPr>
                <w:rFonts w:cstheme="minorHAnsi"/>
              </w:rPr>
              <w:lastRenderedPageBreak/>
              <w:t>divided by 12 and provided monthly</w:t>
            </w:r>
          </w:p>
        </w:tc>
      </w:tr>
      <w:tr w:rsidR="001D6F42" w:rsidRPr="001D6F42" w14:paraId="2BFEB9DA" w14:textId="77777777" w:rsidTr="00E22FC4">
        <w:tc>
          <w:tcPr>
            <w:tcW w:w="2189" w:type="dxa"/>
          </w:tcPr>
          <w:p w14:paraId="4654DD12" w14:textId="437129A4" w:rsidR="001D6F42" w:rsidRPr="001D6F42" w:rsidRDefault="001D6F42" w:rsidP="008323CA">
            <w:pPr>
              <w:rPr>
                <w:rFonts w:cstheme="minorHAnsi"/>
              </w:rPr>
            </w:pPr>
            <w:r w:rsidRPr="001D6F42">
              <w:rPr>
                <w:rFonts w:cstheme="minorHAnsi"/>
              </w:rPr>
              <w:lastRenderedPageBreak/>
              <w:t>Acute Care Unit (ACU) Observation and Stabilization Staff</w:t>
            </w:r>
          </w:p>
        </w:tc>
        <w:tc>
          <w:tcPr>
            <w:tcW w:w="7166" w:type="dxa"/>
          </w:tcPr>
          <w:p w14:paraId="4E6F6A54" w14:textId="74337B1F" w:rsidR="001D6F42" w:rsidRPr="000029D2" w:rsidRDefault="001D6F42" w:rsidP="0085679D">
            <w:pPr>
              <w:rPr>
                <w:rFonts w:cstheme="minorHAnsi"/>
              </w:rPr>
            </w:pPr>
            <w:r w:rsidRPr="001D6F42">
              <w:rPr>
                <w:rFonts w:cstheme="minorHAnsi"/>
              </w:rPr>
              <w:t>Supplemental cost</w:t>
            </w:r>
            <w:r w:rsidR="0085679D">
              <w:rPr>
                <w:rFonts w:cstheme="minorHAnsi"/>
              </w:rPr>
              <w:t>s</w:t>
            </w:r>
            <w:r w:rsidRPr="001D6F42">
              <w:rPr>
                <w:rFonts w:cstheme="minorHAnsi"/>
              </w:rPr>
              <w:t xml:space="preserve"> of operating ACU unit 24 hours a day, 7 days a week, when billable services are not being provided. Allowable uses include</w:t>
            </w:r>
            <w:r w:rsidR="0085679D">
              <w:rPr>
                <w:rFonts w:cstheme="minorHAnsi"/>
              </w:rPr>
              <w:t xml:space="preserve"> s</w:t>
            </w:r>
            <w:r w:rsidRPr="001D6F42">
              <w:rPr>
                <w:rFonts w:cstheme="minorHAnsi"/>
              </w:rPr>
              <w:t xml:space="preserve">alaries and fringe for observation and stabilization staff </w:t>
            </w:r>
          </w:p>
        </w:tc>
        <w:tc>
          <w:tcPr>
            <w:tcW w:w="1620" w:type="dxa"/>
          </w:tcPr>
          <w:p w14:paraId="40B1D993" w14:textId="6B4A4CE7" w:rsidR="001D6F42" w:rsidRPr="005962F2" w:rsidRDefault="001D6F42" w:rsidP="008323CA">
            <w:pPr>
              <w:rPr>
                <w:rFonts w:cstheme="minorHAnsi"/>
              </w:rPr>
            </w:pPr>
            <w:r w:rsidRPr="000029D2">
              <w:rPr>
                <w:rFonts w:cstheme="minorHAnsi"/>
              </w:rPr>
              <w:t xml:space="preserve">$120,000 </w:t>
            </w:r>
          </w:p>
        </w:tc>
        <w:tc>
          <w:tcPr>
            <w:tcW w:w="1980" w:type="dxa"/>
          </w:tcPr>
          <w:p w14:paraId="01F4B4AC" w14:textId="731BBDC4" w:rsidR="001D6F42" w:rsidRPr="001D6F42" w:rsidRDefault="001D6F42" w:rsidP="008323CA">
            <w:pPr>
              <w:rPr>
                <w:rFonts w:cstheme="minorHAnsi"/>
              </w:rPr>
            </w:pPr>
            <w:r w:rsidRPr="005962F2">
              <w:rPr>
                <w:rFonts w:cstheme="minorHAnsi"/>
              </w:rPr>
              <w:t>Annual amount, divided by 12 and provided monthly</w:t>
            </w:r>
          </w:p>
        </w:tc>
      </w:tr>
    </w:tbl>
    <w:p w14:paraId="0EB55B40" w14:textId="77777777" w:rsidR="00E22FC4" w:rsidRDefault="00E22FC4">
      <w:r>
        <w:br w:type="page"/>
      </w:r>
    </w:p>
    <w:tbl>
      <w:tblPr>
        <w:tblStyle w:val="TableGrid"/>
        <w:tblW w:w="12955" w:type="dxa"/>
        <w:tblLook w:val="04A0" w:firstRow="1" w:lastRow="0" w:firstColumn="1" w:lastColumn="0" w:noHBand="0" w:noVBand="1"/>
      </w:tblPr>
      <w:tblGrid>
        <w:gridCol w:w="2189"/>
        <w:gridCol w:w="7166"/>
        <w:gridCol w:w="1620"/>
        <w:gridCol w:w="1980"/>
      </w:tblGrid>
      <w:tr w:rsidR="00E22FC4" w:rsidRPr="001D6F42" w14:paraId="430DF517" w14:textId="77777777" w:rsidTr="0001097A">
        <w:trPr>
          <w:tblHeader/>
        </w:trPr>
        <w:tc>
          <w:tcPr>
            <w:tcW w:w="2189" w:type="dxa"/>
            <w:vAlign w:val="center"/>
          </w:tcPr>
          <w:p w14:paraId="76D232F2" w14:textId="77777777" w:rsidR="00E22FC4" w:rsidRPr="001D6F42" w:rsidRDefault="00E22FC4" w:rsidP="0001097A">
            <w:pPr>
              <w:jc w:val="center"/>
              <w:rPr>
                <w:rFonts w:cstheme="minorHAnsi"/>
                <w:b/>
                <w:bCs/>
              </w:rPr>
            </w:pPr>
            <w:r w:rsidRPr="001D6F42">
              <w:rPr>
                <w:rFonts w:cstheme="minorHAnsi"/>
                <w:b/>
                <w:bCs/>
              </w:rPr>
              <w:lastRenderedPageBreak/>
              <w:t>Type</w:t>
            </w:r>
          </w:p>
        </w:tc>
        <w:tc>
          <w:tcPr>
            <w:tcW w:w="7166" w:type="dxa"/>
            <w:vAlign w:val="center"/>
          </w:tcPr>
          <w:p w14:paraId="78F97768" w14:textId="77777777" w:rsidR="00E22FC4" w:rsidRPr="001D6F42" w:rsidRDefault="00E22FC4" w:rsidP="0001097A">
            <w:pPr>
              <w:jc w:val="center"/>
              <w:rPr>
                <w:rFonts w:cstheme="minorHAnsi"/>
                <w:b/>
                <w:bCs/>
              </w:rPr>
            </w:pPr>
            <w:r w:rsidRPr="001D6F42">
              <w:rPr>
                <w:rFonts w:cstheme="minorHAnsi"/>
                <w:b/>
                <w:bCs/>
              </w:rPr>
              <w:t>Purpose and Allowable Uses</w:t>
            </w:r>
          </w:p>
        </w:tc>
        <w:tc>
          <w:tcPr>
            <w:tcW w:w="1620" w:type="dxa"/>
            <w:vAlign w:val="center"/>
          </w:tcPr>
          <w:p w14:paraId="1566B69D" w14:textId="77777777" w:rsidR="00E22FC4" w:rsidRPr="001D6F42" w:rsidRDefault="00E22FC4" w:rsidP="0001097A">
            <w:pPr>
              <w:jc w:val="center"/>
              <w:rPr>
                <w:rFonts w:cstheme="minorHAnsi"/>
                <w:b/>
                <w:bCs/>
              </w:rPr>
            </w:pPr>
            <w:r w:rsidRPr="001D6F42">
              <w:rPr>
                <w:rFonts w:cstheme="minorHAnsi"/>
                <w:b/>
                <w:bCs/>
              </w:rPr>
              <w:t>Amount</w:t>
            </w:r>
          </w:p>
        </w:tc>
        <w:tc>
          <w:tcPr>
            <w:tcW w:w="1980" w:type="dxa"/>
            <w:vAlign w:val="center"/>
          </w:tcPr>
          <w:p w14:paraId="207852D2" w14:textId="77777777" w:rsidR="00E22FC4" w:rsidRPr="000029D2" w:rsidRDefault="00E22FC4" w:rsidP="0001097A">
            <w:pPr>
              <w:jc w:val="center"/>
              <w:rPr>
                <w:rFonts w:cstheme="minorHAnsi"/>
                <w:b/>
                <w:bCs/>
              </w:rPr>
            </w:pPr>
            <w:r w:rsidRPr="000029D2">
              <w:rPr>
                <w:rFonts w:cstheme="minorHAnsi"/>
                <w:b/>
                <w:bCs/>
              </w:rPr>
              <w:t>Delivery Method</w:t>
            </w:r>
          </w:p>
        </w:tc>
      </w:tr>
      <w:tr w:rsidR="001D6F42" w:rsidRPr="001D6F42" w14:paraId="073286F7" w14:textId="77777777" w:rsidTr="00E22FC4">
        <w:tc>
          <w:tcPr>
            <w:tcW w:w="2189" w:type="dxa"/>
            <w:shd w:val="clear" w:color="auto" w:fill="D9D9D9" w:themeFill="background1" w:themeFillShade="D9"/>
          </w:tcPr>
          <w:p w14:paraId="73DD16DC" w14:textId="28ACF811" w:rsidR="001D6F42" w:rsidRPr="00D124E7" w:rsidRDefault="001D6F42" w:rsidP="008323CA">
            <w:pPr>
              <w:rPr>
                <w:rFonts w:cstheme="minorHAnsi"/>
                <w:b/>
                <w:bCs/>
              </w:rPr>
            </w:pPr>
            <w:r w:rsidRPr="00D124E7">
              <w:rPr>
                <w:rFonts w:cstheme="minorHAnsi"/>
                <w:b/>
                <w:bCs/>
              </w:rPr>
              <w:t>Success</w:t>
            </w:r>
          </w:p>
        </w:tc>
        <w:tc>
          <w:tcPr>
            <w:tcW w:w="7166" w:type="dxa"/>
            <w:shd w:val="clear" w:color="auto" w:fill="D9D9D9" w:themeFill="background1" w:themeFillShade="D9"/>
          </w:tcPr>
          <w:p w14:paraId="03C2ED96" w14:textId="77777777" w:rsidR="001D6F42" w:rsidRPr="001D6F42" w:rsidRDefault="001D6F42" w:rsidP="008323CA">
            <w:pPr>
              <w:rPr>
                <w:rFonts w:cstheme="minorHAnsi"/>
              </w:rPr>
            </w:pPr>
          </w:p>
        </w:tc>
        <w:tc>
          <w:tcPr>
            <w:tcW w:w="1620" w:type="dxa"/>
            <w:shd w:val="clear" w:color="auto" w:fill="D9D9D9" w:themeFill="background1" w:themeFillShade="D9"/>
          </w:tcPr>
          <w:p w14:paraId="68214A1D" w14:textId="77777777" w:rsidR="001D6F42" w:rsidRPr="000029D2" w:rsidRDefault="001D6F42" w:rsidP="008323CA">
            <w:pPr>
              <w:rPr>
                <w:rFonts w:cstheme="minorHAnsi"/>
              </w:rPr>
            </w:pPr>
          </w:p>
        </w:tc>
        <w:tc>
          <w:tcPr>
            <w:tcW w:w="1980" w:type="dxa"/>
            <w:shd w:val="clear" w:color="auto" w:fill="D9D9D9" w:themeFill="background1" w:themeFillShade="D9"/>
          </w:tcPr>
          <w:p w14:paraId="60252455" w14:textId="77777777" w:rsidR="001D6F42" w:rsidRPr="000029D2" w:rsidRDefault="001D6F42" w:rsidP="008323CA">
            <w:pPr>
              <w:rPr>
                <w:rFonts w:cstheme="minorHAnsi"/>
              </w:rPr>
            </w:pPr>
          </w:p>
        </w:tc>
      </w:tr>
      <w:tr w:rsidR="001D6F42" w:rsidRPr="001D6F42" w14:paraId="677C0A1B" w14:textId="77777777" w:rsidTr="00E22FC4">
        <w:tc>
          <w:tcPr>
            <w:tcW w:w="2189" w:type="dxa"/>
          </w:tcPr>
          <w:p w14:paraId="0DE4941D" w14:textId="3AFB6136" w:rsidR="001D6F42" w:rsidRPr="000029D2" w:rsidRDefault="001D6F42" w:rsidP="00A32FC9">
            <w:pPr>
              <w:rPr>
                <w:rFonts w:cstheme="minorHAnsi"/>
              </w:rPr>
            </w:pPr>
            <w:r w:rsidRPr="000029D2">
              <w:rPr>
                <w:rFonts w:cstheme="minorHAnsi"/>
              </w:rPr>
              <w:t>Startup</w:t>
            </w:r>
          </w:p>
        </w:tc>
        <w:tc>
          <w:tcPr>
            <w:tcW w:w="7166" w:type="dxa"/>
          </w:tcPr>
          <w:p w14:paraId="1E5A3AA8" w14:textId="77777777" w:rsidR="001D6F42" w:rsidRPr="001D6F42" w:rsidRDefault="001D6F42" w:rsidP="007A3357">
            <w:pPr>
              <w:rPr>
                <w:rFonts w:cstheme="minorHAnsi"/>
              </w:rPr>
            </w:pPr>
            <w:r w:rsidRPr="001D6F42">
              <w:rPr>
                <w:rFonts w:cstheme="minorHAnsi"/>
              </w:rPr>
              <w:t xml:space="preserve">Startup costs necessary to develop staff capacity and infrastructure necessary to accept and serve clients. Allowable uses include: </w:t>
            </w:r>
          </w:p>
          <w:p w14:paraId="0689108F" w14:textId="73A6DBE8" w:rsidR="001D6F42" w:rsidRPr="000029D2" w:rsidRDefault="001D6F42" w:rsidP="007A3357">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Salaries and fringe for program staff</w:t>
            </w:r>
            <w:r w:rsidR="00D124E7">
              <w:rPr>
                <w:rFonts w:asciiTheme="minorHAnsi" w:hAnsiTheme="minorHAnsi" w:cstheme="minorHAnsi"/>
                <w:sz w:val="22"/>
                <w:szCs w:val="22"/>
              </w:rPr>
              <w:t xml:space="preserve"> during the startup phase</w:t>
            </w:r>
            <w:r w:rsidRPr="001D6F42">
              <w:rPr>
                <w:rFonts w:asciiTheme="minorHAnsi" w:hAnsiTheme="minorHAnsi" w:cstheme="minorHAnsi"/>
                <w:sz w:val="22"/>
                <w:szCs w:val="22"/>
              </w:rPr>
              <w:t>, including program management, clerical and IT staff and care coordinators</w:t>
            </w:r>
            <w:r w:rsidRPr="000029D2">
              <w:rPr>
                <w:rFonts w:asciiTheme="minorHAnsi" w:hAnsiTheme="minorHAnsi" w:cstheme="minorHAnsi"/>
                <w:sz w:val="22"/>
                <w:szCs w:val="22"/>
              </w:rPr>
              <w:t xml:space="preserve"> </w:t>
            </w:r>
          </w:p>
          <w:p w14:paraId="534CE30A" w14:textId="77777777" w:rsidR="001D6F42" w:rsidRPr="005962F2" w:rsidRDefault="001D6F42" w:rsidP="007A3357">
            <w:pPr>
              <w:pStyle w:val="ListParagraph"/>
              <w:numPr>
                <w:ilvl w:val="0"/>
                <w:numId w:val="3"/>
              </w:numPr>
              <w:ind w:left="396"/>
              <w:rPr>
                <w:rFonts w:asciiTheme="minorHAnsi" w:hAnsiTheme="minorHAnsi" w:cstheme="minorHAnsi"/>
                <w:sz w:val="22"/>
                <w:szCs w:val="22"/>
              </w:rPr>
            </w:pPr>
            <w:r w:rsidRPr="000029D2">
              <w:rPr>
                <w:rFonts w:asciiTheme="minorHAnsi" w:hAnsiTheme="minorHAnsi" w:cstheme="minorHAnsi"/>
                <w:sz w:val="22"/>
                <w:szCs w:val="22"/>
              </w:rPr>
              <w:t>Staff recruitment and training</w:t>
            </w:r>
          </w:p>
          <w:p w14:paraId="47AECD1A" w14:textId="5BC7F2F2" w:rsidR="001D6F42" w:rsidRPr="000029D2" w:rsidRDefault="001D6F42" w:rsidP="007A3357">
            <w:pPr>
              <w:pStyle w:val="ListParagraph"/>
              <w:numPr>
                <w:ilvl w:val="0"/>
                <w:numId w:val="3"/>
              </w:numPr>
              <w:ind w:left="396"/>
              <w:rPr>
                <w:rFonts w:asciiTheme="minorHAnsi" w:hAnsiTheme="minorHAnsi" w:cstheme="minorHAnsi"/>
                <w:sz w:val="22"/>
                <w:szCs w:val="22"/>
              </w:rPr>
            </w:pPr>
            <w:r w:rsidRPr="005962F2">
              <w:rPr>
                <w:rFonts w:asciiTheme="minorHAnsi" w:hAnsiTheme="minorHAnsi" w:cstheme="minorHAnsi"/>
                <w:sz w:val="22"/>
                <w:szCs w:val="22"/>
              </w:rPr>
              <w:t xml:space="preserve">Information technology systems to allow for enrolling clients, </w:t>
            </w:r>
            <w:r>
              <w:rPr>
                <w:rFonts w:asciiTheme="minorHAnsi" w:hAnsiTheme="minorHAnsi" w:cstheme="minorHAnsi"/>
                <w:sz w:val="22"/>
                <w:szCs w:val="22"/>
              </w:rPr>
              <w:t>HRSN</w:t>
            </w:r>
            <w:r w:rsidRPr="000029D2">
              <w:rPr>
                <w:rFonts w:asciiTheme="minorHAnsi" w:hAnsiTheme="minorHAnsi" w:cstheme="minorHAnsi"/>
                <w:sz w:val="22"/>
                <w:szCs w:val="22"/>
              </w:rPr>
              <w:t xml:space="preserve"> screening and resource referral, tracking and monitoring program finances, reporting required program data and interfacing with community partner organization, if applicable </w:t>
            </w:r>
          </w:p>
          <w:p w14:paraId="17FF2974" w14:textId="77777777" w:rsidR="001D6F42" w:rsidRPr="005962F2" w:rsidRDefault="001D6F42" w:rsidP="007A3357">
            <w:pPr>
              <w:pStyle w:val="ListParagraph"/>
              <w:numPr>
                <w:ilvl w:val="0"/>
                <w:numId w:val="3"/>
              </w:numPr>
              <w:ind w:left="396"/>
              <w:rPr>
                <w:rFonts w:asciiTheme="minorHAnsi" w:hAnsiTheme="minorHAnsi" w:cstheme="minorHAnsi"/>
                <w:sz w:val="22"/>
                <w:szCs w:val="22"/>
              </w:rPr>
            </w:pPr>
            <w:r w:rsidRPr="005962F2">
              <w:rPr>
                <w:rFonts w:asciiTheme="minorHAnsi" w:hAnsiTheme="minorHAnsi" w:cstheme="minorHAnsi"/>
                <w:sz w:val="22"/>
                <w:szCs w:val="22"/>
              </w:rPr>
              <w:t>Program equipment and supplies</w:t>
            </w:r>
          </w:p>
          <w:p w14:paraId="1512E658" w14:textId="74798014" w:rsidR="001D6F42" w:rsidRPr="00836314" w:rsidRDefault="001D6F42" w:rsidP="0085679D">
            <w:pPr>
              <w:pStyle w:val="ListParagraph"/>
              <w:numPr>
                <w:ilvl w:val="0"/>
                <w:numId w:val="3"/>
              </w:numPr>
              <w:ind w:left="396"/>
              <w:rPr>
                <w:rFonts w:asciiTheme="minorHAnsi" w:hAnsiTheme="minorHAnsi" w:cstheme="minorHAnsi"/>
                <w:sz w:val="22"/>
                <w:szCs w:val="22"/>
              </w:rPr>
            </w:pPr>
            <w:r w:rsidRPr="005962F2">
              <w:rPr>
                <w:rFonts w:asciiTheme="minorHAnsi" w:hAnsiTheme="minorHAnsi" w:cstheme="minorHAnsi"/>
                <w:sz w:val="22"/>
                <w:szCs w:val="22"/>
              </w:rPr>
              <w:t>Activities associated with the formulation of partners/subcontractors, including capacity assessments</w:t>
            </w:r>
          </w:p>
        </w:tc>
        <w:tc>
          <w:tcPr>
            <w:tcW w:w="1620" w:type="dxa"/>
          </w:tcPr>
          <w:p w14:paraId="111B6E3A" w14:textId="255B10E6" w:rsidR="001D6F42" w:rsidRPr="000029D2" w:rsidRDefault="001D6F42" w:rsidP="00A32FC9">
            <w:pPr>
              <w:rPr>
                <w:rFonts w:cstheme="minorHAnsi"/>
              </w:rPr>
            </w:pPr>
            <w:r w:rsidRPr="000029D2">
              <w:rPr>
                <w:rFonts w:cstheme="minorHAnsi"/>
              </w:rPr>
              <w:t>3 X $75,000</w:t>
            </w:r>
          </w:p>
        </w:tc>
        <w:tc>
          <w:tcPr>
            <w:tcW w:w="1980" w:type="dxa"/>
          </w:tcPr>
          <w:p w14:paraId="646059A5" w14:textId="752DAE02" w:rsidR="001D6F42" w:rsidRPr="000029D2" w:rsidRDefault="001D6F42" w:rsidP="00A32FC9">
            <w:pPr>
              <w:rPr>
                <w:rFonts w:cstheme="minorHAnsi"/>
              </w:rPr>
            </w:pPr>
            <w:r w:rsidRPr="000029D2">
              <w:rPr>
                <w:rFonts w:cstheme="minorHAnsi"/>
              </w:rPr>
              <w:t xml:space="preserve">One-time </w:t>
            </w:r>
            <w:r w:rsidR="0085679D">
              <w:rPr>
                <w:rFonts w:cstheme="minorHAnsi"/>
              </w:rPr>
              <w:t>funding provided</w:t>
            </w:r>
            <w:r w:rsidRPr="000029D2">
              <w:rPr>
                <w:rFonts w:cstheme="minorHAnsi"/>
              </w:rPr>
              <w:t xml:space="preserve"> at application approval/signed startup agreement and after readiness review</w:t>
            </w:r>
          </w:p>
        </w:tc>
      </w:tr>
      <w:tr w:rsidR="001D6F42" w:rsidRPr="001D6F42" w14:paraId="157F98A5" w14:textId="77777777" w:rsidTr="00E22FC4">
        <w:tc>
          <w:tcPr>
            <w:tcW w:w="2189" w:type="dxa"/>
          </w:tcPr>
          <w:p w14:paraId="12562992" w14:textId="01CB513D" w:rsidR="001D6F42" w:rsidRPr="000029D2" w:rsidRDefault="001D6F42" w:rsidP="00A32FC9">
            <w:pPr>
              <w:rPr>
                <w:rFonts w:cstheme="minorHAnsi"/>
              </w:rPr>
            </w:pPr>
            <w:r w:rsidRPr="000029D2">
              <w:rPr>
                <w:rFonts w:cstheme="minorHAnsi"/>
              </w:rPr>
              <w:t>Intensive Care Coordination</w:t>
            </w:r>
          </w:p>
        </w:tc>
        <w:tc>
          <w:tcPr>
            <w:tcW w:w="7166" w:type="dxa"/>
          </w:tcPr>
          <w:p w14:paraId="290E971F" w14:textId="58A992FE" w:rsidR="001D6F42" w:rsidRPr="005962F2" w:rsidRDefault="001D6F42" w:rsidP="001A11F5">
            <w:pPr>
              <w:rPr>
                <w:rFonts w:cstheme="minorHAnsi"/>
              </w:rPr>
            </w:pPr>
            <w:r w:rsidRPr="005962F2">
              <w:rPr>
                <w:rFonts w:cstheme="minorHAnsi"/>
              </w:rPr>
              <w:t xml:space="preserve">Costs necessary to provide intensive care coordination services, including: </w:t>
            </w:r>
          </w:p>
          <w:p w14:paraId="2FC8572E" w14:textId="04809F1E" w:rsidR="001D6F42" w:rsidRPr="00836314" w:rsidRDefault="001D6F42" w:rsidP="001A11F5">
            <w:pPr>
              <w:pStyle w:val="ListParagraph"/>
              <w:numPr>
                <w:ilvl w:val="0"/>
                <w:numId w:val="3"/>
              </w:numPr>
              <w:ind w:left="396"/>
              <w:rPr>
                <w:rFonts w:asciiTheme="minorHAnsi" w:eastAsiaTheme="minorEastAsia" w:hAnsiTheme="minorHAnsi" w:cstheme="minorHAnsi"/>
                <w:sz w:val="22"/>
                <w:szCs w:val="22"/>
              </w:rPr>
            </w:pPr>
            <w:r w:rsidRPr="005962F2">
              <w:rPr>
                <w:rFonts w:asciiTheme="minorHAnsi" w:hAnsiTheme="minorHAnsi" w:cstheme="minorHAnsi"/>
                <w:sz w:val="22"/>
                <w:szCs w:val="22"/>
              </w:rPr>
              <w:t>Staff salaries and fringe, including for program management, clerical and IT staff, community resource specialists, and care coordinators</w:t>
            </w:r>
          </w:p>
          <w:p w14:paraId="33C54E29" w14:textId="77777777" w:rsidR="001D6F42" w:rsidRPr="001D6F42" w:rsidRDefault="001D6F42" w:rsidP="001A11F5">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Staff recruitment and training</w:t>
            </w:r>
          </w:p>
          <w:p w14:paraId="773A5021" w14:textId="1C753D45" w:rsidR="001D6F42" w:rsidRDefault="00586C00">
            <w:pPr>
              <w:pStyle w:val="ListParagraph"/>
              <w:numPr>
                <w:ilvl w:val="0"/>
                <w:numId w:val="3"/>
              </w:numPr>
              <w:ind w:left="396"/>
              <w:rPr>
                <w:rFonts w:asciiTheme="minorHAnsi" w:hAnsiTheme="minorHAnsi" w:cstheme="minorHAnsi"/>
                <w:sz w:val="22"/>
                <w:szCs w:val="22"/>
              </w:rPr>
            </w:pPr>
            <w:r>
              <w:rPr>
                <w:rFonts w:asciiTheme="minorHAnsi" w:hAnsiTheme="minorHAnsi" w:cstheme="minorHAnsi"/>
                <w:sz w:val="22"/>
                <w:szCs w:val="22"/>
              </w:rPr>
              <w:t>Ongoing p</w:t>
            </w:r>
            <w:r w:rsidRPr="001D6F42">
              <w:rPr>
                <w:rFonts w:asciiTheme="minorHAnsi" w:hAnsiTheme="minorHAnsi" w:cstheme="minorHAnsi"/>
                <w:sz w:val="22"/>
                <w:szCs w:val="22"/>
              </w:rPr>
              <w:t xml:space="preserve">rogram </w:t>
            </w:r>
            <w:r w:rsidR="001D6F42" w:rsidRPr="001D6F42">
              <w:rPr>
                <w:rFonts w:asciiTheme="minorHAnsi" w:hAnsiTheme="minorHAnsi" w:cstheme="minorHAnsi"/>
                <w:sz w:val="22"/>
                <w:szCs w:val="22"/>
              </w:rPr>
              <w:t>equipment and supplies</w:t>
            </w:r>
          </w:p>
          <w:p w14:paraId="0DF61C62" w14:textId="77777777" w:rsidR="0085679D" w:rsidRDefault="0085679D" w:rsidP="00485C4C">
            <w:pPr>
              <w:rPr>
                <w:rFonts w:cstheme="minorHAnsi"/>
              </w:rPr>
            </w:pPr>
          </w:p>
          <w:p w14:paraId="0EADE2F5" w14:textId="760737D7" w:rsidR="00485C4C" w:rsidRDefault="00485C4C" w:rsidP="00485C4C">
            <w:pPr>
              <w:rPr>
                <w:rFonts w:cstheme="minorHAnsi"/>
              </w:rPr>
            </w:pPr>
            <w:r>
              <w:rPr>
                <w:rFonts w:cstheme="minorHAnsi"/>
              </w:rPr>
              <w:t>Funding for the following HRSN services</w:t>
            </w:r>
          </w:p>
          <w:p w14:paraId="3FE88C33" w14:textId="77777777" w:rsidR="00485C4C" w:rsidRPr="00485C4C" w:rsidRDefault="00485C4C" w:rsidP="00485C4C">
            <w:pPr>
              <w:pStyle w:val="OutlineL3"/>
              <w:numPr>
                <w:ilvl w:val="0"/>
                <w:numId w:val="10"/>
              </w:numPr>
              <w:spacing w:after="0"/>
              <w:ind w:left="396"/>
              <w:rPr>
                <w:rFonts w:asciiTheme="minorHAnsi" w:hAnsiTheme="minorHAnsi" w:cstheme="minorHAnsi"/>
                <w:sz w:val="22"/>
                <w:szCs w:val="22"/>
              </w:rPr>
            </w:pPr>
            <w:r w:rsidRPr="00485C4C">
              <w:rPr>
                <w:rFonts w:asciiTheme="minorHAnsi" w:hAnsiTheme="minorHAnsi" w:cstheme="minorHAnsi"/>
                <w:sz w:val="22"/>
                <w:szCs w:val="22"/>
              </w:rPr>
              <w:t>Housing supports, including:</w:t>
            </w:r>
          </w:p>
          <w:p w14:paraId="57574709" w14:textId="7777777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Pre-tenancy and tenancy sustaining services, including tenant rights education and eviction prevention</w:t>
            </w:r>
          </w:p>
          <w:p w14:paraId="4A4CFB30" w14:textId="31422F2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Housing transition navigation services</w:t>
            </w:r>
          </w:p>
          <w:p w14:paraId="064D2EE4" w14:textId="77777777" w:rsidR="00485C4C" w:rsidRPr="00485C4C" w:rsidRDefault="00485C4C" w:rsidP="00485C4C">
            <w:pPr>
              <w:pStyle w:val="OutlineL3"/>
              <w:numPr>
                <w:ilvl w:val="0"/>
                <w:numId w:val="11"/>
              </w:numPr>
              <w:spacing w:after="0"/>
              <w:ind w:left="846"/>
              <w:rPr>
                <w:rFonts w:asciiTheme="minorHAnsi" w:hAnsiTheme="minorHAnsi" w:cstheme="minorHAnsi"/>
                <w:sz w:val="22"/>
                <w:szCs w:val="22"/>
              </w:rPr>
            </w:pPr>
            <w:r w:rsidRPr="00485C4C">
              <w:rPr>
                <w:rFonts w:asciiTheme="minorHAnsi" w:hAnsiTheme="minorHAnsi" w:cstheme="minorHAnsi"/>
                <w:sz w:val="22"/>
                <w:szCs w:val="22"/>
              </w:rPr>
              <w:t>One-time transition and moving costs (e.g., security deposits, first-month’s rent, utilities activation fees, movers, and pest eradication)</w:t>
            </w:r>
          </w:p>
          <w:p w14:paraId="5A0C9B1F" w14:textId="77777777" w:rsidR="00485C4C" w:rsidRPr="00485C4C" w:rsidDel="007E52A7" w:rsidRDefault="00485C4C" w:rsidP="00485C4C">
            <w:pPr>
              <w:pStyle w:val="OutlineL3"/>
              <w:numPr>
                <w:ilvl w:val="0"/>
                <w:numId w:val="12"/>
              </w:numPr>
              <w:spacing w:after="0"/>
              <w:ind w:left="846"/>
              <w:rPr>
                <w:rFonts w:asciiTheme="minorHAnsi" w:hAnsiTheme="minorHAnsi" w:cstheme="minorHAnsi"/>
                <w:sz w:val="22"/>
                <w:szCs w:val="22"/>
              </w:rPr>
            </w:pPr>
            <w:r w:rsidRPr="00485C4C">
              <w:rPr>
                <w:rFonts w:asciiTheme="minorHAnsi" w:hAnsiTheme="minorHAnsi" w:cstheme="minorHAnsi"/>
                <w:sz w:val="22"/>
                <w:szCs w:val="22"/>
              </w:rPr>
              <w:t>Housing deposits to secure housing, including application and inspection fees and fess to secure needed identification</w:t>
            </w:r>
          </w:p>
          <w:p w14:paraId="30A7DA3E" w14:textId="77777777" w:rsidR="00485C4C" w:rsidRPr="00485C4C" w:rsidDel="001B6C97" w:rsidRDefault="00485C4C" w:rsidP="00485C4C">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 xml:space="preserve"> Nutrition Supports, including nutrition counseling and education, such as healthy meal preparation</w:t>
            </w:r>
          </w:p>
          <w:p w14:paraId="0E857792" w14:textId="2CA31719" w:rsidR="001D6F42" w:rsidRPr="00836314" w:rsidRDefault="00485C4C" w:rsidP="00485C4C">
            <w:pPr>
              <w:pStyle w:val="OutlineL3"/>
              <w:numPr>
                <w:ilvl w:val="3"/>
                <w:numId w:val="9"/>
              </w:numPr>
              <w:spacing w:after="0"/>
              <w:ind w:left="486"/>
              <w:rPr>
                <w:rFonts w:asciiTheme="minorHAnsi" w:hAnsiTheme="minorHAnsi" w:cstheme="minorHAnsi"/>
                <w:sz w:val="22"/>
                <w:szCs w:val="22"/>
              </w:rPr>
            </w:pPr>
            <w:r w:rsidRPr="00485C4C">
              <w:rPr>
                <w:rFonts w:asciiTheme="minorHAnsi" w:hAnsiTheme="minorHAnsi" w:cstheme="minorHAnsi"/>
                <w:sz w:val="22"/>
                <w:szCs w:val="22"/>
              </w:rPr>
              <w:t>Case management, outreach, and education including linkages to other state and federal benefit program application assistance, and benefit program application fees</w:t>
            </w:r>
          </w:p>
        </w:tc>
        <w:tc>
          <w:tcPr>
            <w:tcW w:w="1620" w:type="dxa"/>
          </w:tcPr>
          <w:p w14:paraId="51ACA85B" w14:textId="4372C2AE" w:rsidR="001D6F42" w:rsidRPr="000029D2" w:rsidRDefault="001D6F42" w:rsidP="00A32FC9">
            <w:pPr>
              <w:rPr>
                <w:rFonts w:cstheme="minorHAnsi"/>
              </w:rPr>
            </w:pPr>
            <w:r w:rsidRPr="000029D2">
              <w:rPr>
                <w:rFonts w:cstheme="minorHAnsi"/>
              </w:rPr>
              <w:t>$700,000 maximum</w:t>
            </w:r>
          </w:p>
        </w:tc>
        <w:tc>
          <w:tcPr>
            <w:tcW w:w="1980" w:type="dxa"/>
          </w:tcPr>
          <w:p w14:paraId="67C395E7" w14:textId="0A7D860B" w:rsidR="001D6F42" w:rsidRPr="001D6F42" w:rsidRDefault="001D6F42" w:rsidP="00A32FC9">
            <w:pPr>
              <w:rPr>
                <w:rFonts w:cstheme="minorHAnsi"/>
              </w:rPr>
            </w:pPr>
            <w:r w:rsidRPr="005962F2">
              <w:rPr>
                <w:rFonts w:cstheme="minorHAnsi"/>
              </w:rPr>
              <w:t>Annual amount</w:t>
            </w:r>
            <w:r w:rsidR="00FE2003">
              <w:rPr>
                <w:rFonts w:cstheme="minorHAnsi"/>
              </w:rPr>
              <w:t xml:space="preserve"> based on submitted and approved budget</w:t>
            </w:r>
            <w:r w:rsidRPr="005962F2">
              <w:rPr>
                <w:rFonts w:cstheme="minorHAnsi"/>
              </w:rPr>
              <w:t>, divided by 12 and provided monthly</w:t>
            </w:r>
          </w:p>
        </w:tc>
      </w:tr>
      <w:tr w:rsidR="001D6F42" w:rsidRPr="001D6F42" w14:paraId="3BDAF22D" w14:textId="77777777" w:rsidTr="00E22FC4">
        <w:tc>
          <w:tcPr>
            <w:tcW w:w="2189" w:type="dxa"/>
          </w:tcPr>
          <w:p w14:paraId="2938C7BD" w14:textId="28528D26" w:rsidR="001D6F42" w:rsidRPr="001D6F42" w:rsidRDefault="001D6F42" w:rsidP="008323CA">
            <w:pPr>
              <w:rPr>
                <w:rFonts w:cstheme="minorHAnsi"/>
              </w:rPr>
            </w:pPr>
            <w:r w:rsidRPr="001D6F42">
              <w:rPr>
                <w:rFonts w:cstheme="minorHAnsi"/>
              </w:rPr>
              <w:lastRenderedPageBreak/>
              <w:t>Technology Allotment</w:t>
            </w:r>
          </w:p>
        </w:tc>
        <w:tc>
          <w:tcPr>
            <w:tcW w:w="7166" w:type="dxa"/>
          </w:tcPr>
          <w:p w14:paraId="5B883C8F" w14:textId="40C7ED9C" w:rsidR="001D6F42" w:rsidRPr="00EE1A87" w:rsidRDefault="001D6F42" w:rsidP="00E917FC">
            <w:pPr>
              <w:ind w:left="36"/>
              <w:rPr>
                <w:rFonts w:cstheme="minorHAnsi"/>
              </w:rPr>
            </w:pPr>
            <w:r w:rsidRPr="001D6F42">
              <w:rPr>
                <w:rFonts w:cstheme="minorHAnsi"/>
              </w:rPr>
              <w:t xml:space="preserve">Additional costs to support data-sharing among organizations and providers that serve clients and </w:t>
            </w:r>
            <w:r w:rsidR="0085679D">
              <w:rPr>
                <w:rFonts w:cstheme="minorHAnsi"/>
              </w:rPr>
              <w:t xml:space="preserve">to </w:t>
            </w:r>
            <w:r w:rsidRPr="001D6F42">
              <w:rPr>
                <w:rFonts w:cstheme="minorHAnsi"/>
              </w:rPr>
              <w:t>make coordination more efficient and effective. Allowable uses include:</w:t>
            </w:r>
            <w:r w:rsidRPr="000029D2">
              <w:rPr>
                <w:rFonts w:cstheme="minorHAnsi"/>
              </w:rPr>
              <w:t xml:space="preserve"> </w:t>
            </w:r>
          </w:p>
          <w:p w14:paraId="025368D1" w14:textId="58378E58" w:rsidR="001D6F42" w:rsidRPr="00EE1A87" w:rsidRDefault="001D6F42" w:rsidP="0085679D">
            <w:pPr>
              <w:pStyle w:val="ListParagraph"/>
              <w:numPr>
                <w:ilvl w:val="0"/>
                <w:numId w:val="3"/>
              </w:numPr>
              <w:ind w:left="396"/>
              <w:rPr>
                <w:rFonts w:asciiTheme="minorHAnsi" w:hAnsiTheme="minorHAnsi" w:cstheme="minorHAnsi"/>
                <w:sz w:val="22"/>
                <w:szCs w:val="22"/>
              </w:rPr>
            </w:pPr>
            <w:r w:rsidRPr="001D6F42">
              <w:rPr>
                <w:rFonts w:asciiTheme="minorHAnsi" w:hAnsiTheme="minorHAnsi" w:cstheme="minorHAnsi"/>
                <w:sz w:val="22"/>
                <w:szCs w:val="22"/>
              </w:rPr>
              <w:t xml:space="preserve">IT systems to allow for enrolling clients, </w:t>
            </w:r>
            <w:r>
              <w:rPr>
                <w:rFonts w:asciiTheme="minorHAnsi" w:hAnsiTheme="minorHAnsi" w:cstheme="minorHAnsi"/>
                <w:sz w:val="22"/>
                <w:szCs w:val="22"/>
              </w:rPr>
              <w:t>HRSN</w:t>
            </w:r>
            <w:r w:rsidRPr="001D6F42">
              <w:rPr>
                <w:rFonts w:asciiTheme="minorHAnsi" w:hAnsiTheme="minorHAnsi" w:cstheme="minorHAnsi"/>
                <w:sz w:val="22"/>
                <w:szCs w:val="22"/>
              </w:rPr>
              <w:t xml:space="preserve"> screening and resource referral, tracking and monitoring program finances, reporting required program data</w:t>
            </w:r>
            <w:r w:rsidRPr="000029D2">
              <w:rPr>
                <w:rFonts w:asciiTheme="minorHAnsi" w:hAnsiTheme="minorHAnsi" w:cstheme="minorHAnsi"/>
                <w:sz w:val="22"/>
                <w:szCs w:val="22"/>
              </w:rPr>
              <w:t xml:space="preserve"> and interfacing with community partner organization</w:t>
            </w:r>
          </w:p>
        </w:tc>
        <w:tc>
          <w:tcPr>
            <w:tcW w:w="1620" w:type="dxa"/>
          </w:tcPr>
          <w:p w14:paraId="54E8D485" w14:textId="02ACC440" w:rsidR="001D6F42" w:rsidRPr="000029D2" w:rsidRDefault="001D6F42" w:rsidP="008323CA">
            <w:pPr>
              <w:rPr>
                <w:rFonts w:cstheme="minorHAnsi"/>
              </w:rPr>
            </w:pPr>
            <w:r w:rsidRPr="000029D2">
              <w:rPr>
                <w:rFonts w:cstheme="minorHAnsi"/>
              </w:rPr>
              <w:t>$50,000 maximum</w:t>
            </w:r>
          </w:p>
        </w:tc>
        <w:tc>
          <w:tcPr>
            <w:tcW w:w="1980" w:type="dxa"/>
          </w:tcPr>
          <w:p w14:paraId="032DCDCF" w14:textId="554818F2" w:rsidR="001D6F42" w:rsidRPr="005962F2" w:rsidRDefault="001D6F42" w:rsidP="008323CA">
            <w:pPr>
              <w:rPr>
                <w:rFonts w:cstheme="minorHAnsi"/>
              </w:rPr>
            </w:pPr>
            <w:r w:rsidRPr="005962F2">
              <w:rPr>
                <w:rFonts w:cstheme="minorHAnsi"/>
              </w:rPr>
              <w:t>Annual amount</w:t>
            </w:r>
            <w:r w:rsidR="00FE2003">
              <w:rPr>
                <w:rFonts w:cstheme="minorHAnsi"/>
              </w:rPr>
              <w:t xml:space="preserve"> based on submitted and approved budget</w:t>
            </w:r>
            <w:r w:rsidRPr="005962F2">
              <w:rPr>
                <w:rFonts w:cstheme="minorHAnsi"/>
              </w:rPr>
              <w:t>, divided by 12 and provided monthly</w:t>
            </w:r>
          </w:p>
        </w:tc>
      </w:tr>
      <w:tr w:rsidR="001D6F42" w:rsidRPr="001D6F42" w14:paraId="14B558BB" w14:textId="77777777" w:rsidTr="00E22FC4">
        <w:tc>
          <w:tcPr>
            <w:tcW w:w="2189" w:type="dxa"/>
          </w:tcPr>
          <w:p w14:paraId="08C8DD82" w14:textId="5BED6F75" w:rsidR="001D6F42" w:rsidRPr="001D6F42" w:rsidRDefault="001D6F42" w:rsidP="008323CA">
            <w:pPr>
              <w:rPr>
                <w:rFonts w:cstheme="minorHAnsi"/>
              </w:rPr>
            </w:pPr>
            <w:r w:rsidRPr="001D6F42">
              <w:rPr>
                <w:rFonts w:cstheme="minorHAnsi"/>
              </w:rPr>
              <w:t>Success Fee</w:t>
            </w:r>
          </w:p>
        </w:tc>
        <w:tc>
          <w:tcPr>
            <w:tcW w:w="7166" w:type="dxa"/>
          </w:tcPr>
          <w:p w14:paraId="7AE8EB48" w14:textId="0D50F3DE" w:rsidR="001D6F42" w:rsidRPr="001D6F42" w:rsidRDefault="001D6F42" w:rsidP="008323CA">
            <w:pPr>
              <w:rPr>
                <w:rFonts w:cstheme="minorHAnsi"/>
              </w:rPr>
            </w:pPr>
            <w:r w:rsidRPr="001D6F42">
              <w:rPr>
                <w:rFonts w:cstheme="minorHAnsi"/>
              </w:rPr>
              <w:t xml:space="preserve">Success fee for each client who achieves specified goals. Life360s can share the success fees with the community partner organization and can share up to $250 with the client. There are no specified uses for this funding. The Success </w:t>
            </w:r>
            <w:r w:rsidR="00E22FC4">
              <w:rPr>
                <w:rFonts w:cstheme="minorHAnsi"/>
              </w:rPr>
              <w:t>f</w:t>
            </w:r>
            <w:r w:rsidRPr="001D6F42">
              <w:rPr>
                <w:rFonts w:cstheme="minorHAnsi"/>
              </w:rPr>
              <w:t xml:space="preserve">ee is awarded based on the number of clients who achieve the following goals </w:t>
            </w:r>
            <w:r w:rsidRPr="00EE1A87">
              <w:rPr>
                <w:rFonts w:cstheme="minorHAnsi"/>
              </w:rPr>
              <w:t>after enrollment in the Life360:</w:t>
            </w:r>
          </w:p>
          <w:p w14:paraId="6EF3C2EE" w14:textId="64364436" w:rsidR="001D6F42" w:rsidRPr="001D6F42" w:rsidRDefault="001D6F42" w:rsidP="00E917FC">
            <w:pPr>
              <w:pStyle w:val="NormalWeb"/>
              <w:numPr>
                <w:ilvl w:val="0"/>
                <w:numId w:val="6"/>
              </w:numPr>
              <w:spacing w:before="0" w:beforeAutospacing="0" w:after="0" w:afterAutospacing="0"/>
              <w:ind w:left="396"/>
              <w:rPr>
                <w:rFonts w:asciiTheme="minorHAnsi" w:hAnsiTheme="minorHAnsi" w:cstheme="minorHAnsi"/>
                <w:color w:val="000000"/>
                <w:sz w:val="22"/>
                <w:szCs w:val="22"/>
              </w:rPr>
            </w:pPr>
            <w:r w:rsidRPr="001D6F42">
              <w:rPr>
                <w:rFonts w:asciiTheme="minorHAnsi" w:hAnsiTheme="minorHAnsi" w:cstheme="minorHAnsi"/>
                <w:color w:val="000000"/>
                <w:sz w:val="22"/>
                <w:szCs w:val="22"/>
              </w:rPr>
              <w:t>Attains an educational diploma, certificate, or degree, including a General Educational Development certificate, high school diploma, associate degree, certificate program through an accredited institution of higher education, or completes a workforce training, trade, or other work certification program.</w:t>
            </w:r>
          </w:p>
          <w:p w14:paraId="07627770" w14:textId="6C831FB2" w:rsidR="001D6F42" w:rsidRPr="001D6F42" w:rsidRDefault="001D6F42" w:rsidP="00E917FC">
            <w:pPr>
              <w:pStyle w:val="NormalWeb"/>
              <w:numPr>
                <w:ilvl w:val="0"/>
                <w:numId w:val="6"/>
              </w:numPr>
              <w:spacing w:before="0" w:beforeAutospacing="0" w:after="0" w:afterAutospacing="0"/>
              <w:ind w:left="396"/>
              <w:rPr>
                <w:rFonts w:asciiTheme="minorHAnsi" w:hAnsiTheme="minorHAnsi" w:cstheme="minorHAnsi"/>
                <w:color w:val="000000"/>
                <w:sz w:val="22"/>
                <w:szCs w:val="22"/>
              </w:rPr>
            </w:pPr>
            <w:r w:rsidRPr="001D6F42">
              <w:rPr>
                <w:rFonts w:asciiTheme="minorHAnsi" w:hAnsiTheme="minorHAnsi" w:cstheme="minorHAnsi"/>
                <w:color w:val="000000"/>
                <w:sz w:val="22"/>
                <w:szCs w:val="22"/>
              </w:rPr>
              <w:t>Maintains full-time employment for 12 consecutive months.</w:t>
            </w:r>
          </w:p>
          <w:p w14:paraId="68F08B41" w14:textId="69E796EE" w:rsidR="00E22FC4" w:rsidRDefault="00E22FC4" w:rsidP="00E22FC4">
            <w:pPr>
              <w:pStyle w:val="NormalWeb"/>
              <w:numPr>
                <w:ilvl w:val="0"/>
                <w:numId w:val="6"/>
              </w:numPr>
              <w:spacing w:before="0" w:beforeAutospacing="0" w:after="0" w:afterAutospacing="0"/>
              <w:ind w:left="396"/>
              <w:rPr>
                <w:rFonts w:asciiTheme="minorHAnsi" w:hAnsiTheme="minorHAnsi" w:cstheme="minorHAnsi"/>
                <w:color w:val="000000"/>
                <w:sz w:val="22"/>
                <w:szCs w:val="22"/>
              </w:rPr>
            </w:pPr>
            <w:r>
              <w:rPr>
                <w:rFonts w:asciiTheme="minorHAnsi" w:hAnsiTheme="minorHAnsi" w:cstheme="minorHAnsi"/>
                <w:color w:val="000000"/>
                <w:sz w:val="22"/>
                <w:szCs w:val="22"/>
              </w:rPr>
              <w:t>For c</w:t>
            </w:r>
            <w:r w:rsidR="001D6F42" w:rsidRPr="001D6F42">
              <w:rPr>
                <w:rFonts w:asciiTheme="minorHAnsi" w:hAnsiTheme="minorHAnsi" w:cstheme="minorHAnsi"/>
                <w:color w:val="000000"/>
                <w:sz w:val="22"/>
                <w:szCs w:val="22"/>
              </w:rPr>
              <w:t xml:space="preserve">lients who have a diagnosis of </w:t>
            </w:r>
            <w:r>
              <w:rPr>
                <w:rFonts w:asciiTheme="minorHAnsi" w:hAnsiTheme="minorHAnsi" w:cstheme="minorHAnsi"/>
                <w:color w:val="000000"/>
                <w:sz w:val="22"/>
                <w:szCs w:val="22"/>
              </w:rPr>
              <w:t>substance use disorder:</w:t>
            </w:r>
            <w:r w:rsidR="001D6F42" w:rsidRPr="001D6F42">
              <w:rPr>
                <w:rFonts w:asciiTheme="minorHAnsi" w:hAnsiTheme="minorHAnsi" w:cstheme="minorHAnsi"/>
                <w:color w:val="000000"/>
                <w:sz w:val="22"/>
                <w:szCs w:val="22"/>
              </w:rPr>
              <w:t xml:space="preserve"> </w:t>
            </w:r>
            <w:r>
              <w:rPr>
                <w:rFonts w:asciiTheme="minorHAnsi" w:hAnsiTheme="minorHAnsi" w:cstheme="minorHAnsi"/>
                <w:color w:val="000000"/>
                <w:sz w:val="22"/>
                <w:szCs w:val="22"/>
              </w:rPr>
              <w:t>M</w:t>
            </w:r>
            <w:r w:rsidR="001D6F42" w:rsidRPr="001D6F42">
              <w:rPr>
                <w:rFonts w:asciiTheme="minorHAnsi" w:hAnsiTheme="minorHAnsi" w:cstheme="minorHAnsi"/>
                <w:color w:val="000000"/>
                <w:sz w:val="22"/>
                <w:szCs w:val="22"/>
              </w:rPr>
              <w:t>aintain</w:t>
            </w:r>
            <w:r>
              <w:rPr>
                <w:rFonts w:asciiTheme="minorHAnsi" w:hAnsiTheme="minorHAnsi" w:cstheme="minorHAnsi"/>
                <w:color w:val="000000"/>
                <w:sz w:val="22"/>
                <w:szCs w:val="22"/>
              </w:rPr>
              <w:t>s</w:t>
            </w:r>
            <w:r w:rsidR="001D6F42" w:rsidRPr="001D6F42">
              <w:rPr>
                <w:rFonts w:asciiTheme="minorHAnsi" w:hAnsiTheme="minorHAnsi" w:cstheme="minorHAnsi"/>
                <w:color w:val="000000"/>
                <w:sz w:val="22"/>
                <w:szCs w:val="22"/>
              </w:rPr>
              <w:t xml:space="preserve"> sobriety for 12 consecutive months as confirmed by a treatment program, rehabilitation program, sponsor, or support group leader.</w:t>
            </w:r>
            <w:r w:rsidRPr="001D6F42">
              <w:rPr>
                <w:rFonts w:asciiTheme="minorHAnsi" w:hAnsiTheme="minorHAnsi" w:cstheme="minorHAnsi"/>
                <w:color w:val="000000"/>
                <w:sz w:val="22"/>
                <w:szCs w:val="22"/>
              </w:rPr>
              <w:t xml:space="preserve"> </w:t>
            </w:r>
          </w:p>
          <w:p w14:paraId="1CE681AC" w14:textId="5A1A1EBB" w:rsidR="001D6F42" w:rsidRPr="00EE1A87" w:rsidRDefault="00E22FC4" w:rsidP="00E22FC4">
            <w:pPr>
              <w:pStyle w:val="NormalWeb"/>
              <w:numPr>
                <w:ilvl w:val="0"/>
                <w:numId w:val="6"/>
              </w:numPr>
              <w:spacing w:before="0" w:beforeAutospacing="0" w:after="0" w:afterAutospacing="0"/>
              <w:ind w:left="396"/>
              <w:rPr>
                <w:rFonts w:asciiTheme="minorHAnsi" w:hAnsiTheme="minorHAnsi" w:cstheme="minorHAnsi"/>
                <w:sz w:val="22"/>
                <w:szCs w:val="22"/>
              </w:rPr>
            </w:pPr>
            <w:r w:rsidRPr="001D6F42">
              <w:rPr>
                <w:rFonts w:asciiTheme="minorHAnsi" w:hAnsiTheme="minorHAnsi" w:cstheme="minorHAnsi"/>
                <w:color w:val="000000"/>
                <w:sz w:val="22"/>
                <w:szCs w:val="22"/>
              </w:rPr>
              <w:t>For clients who were formerly in the custody of the DHS Division of Youth Services or the Arkansas Department of Corrections</w:t>
            </w:r>
            <w:r>
              <w:rPr>
                <w:rFonts w:asciiTheme="minorHAnsi" w:hAnsiTheme="minorHAnsi" w:cstheme="minorHAnsi"/>
                <w:color w:val="000000"/>
                <w:sz w:val="22"/>
                <w:szCs w:val="22"/>
              </w:rPr>
              <w:t>: R</w:t>
            </w:r>
            <w:r w:rsidRPr="001D6F42">
              <w:rPr>
                <w:rFonts w:asciiTheme="minorHAnsi" w:hAnsiTheme="minorHAnsi" w:cstheme="minorHAnsi"/>
                <w:color w:val="000000"/>
                <w:sz w:val="22"/>
                <w:szCs w:val="22"/>
              </w:rPr>
              <w:t>emain</w:t>
            </w:r>
            <w:r>
              <w:rPr>
                <w:rFonts w:asciiTheme="minorHAnsi" w:hAnsiTheme="minorHAnsi" w:cstheme="minorHAnsi"/>
                <w:color w:val="000000"/>
                <w:sz w:val="22"/>
                <w:szCs w:val="22"/>
              </w:rPr>
              <w:t>s</w:t>
            </w:r>
            <w:r w:rsidRPr="001D6F42">
              <w:rPr>
                <w:rFonts w:asciiTheme="minorHAnsi" w:hAnsiTheme="minorHAnsi" w:cstheme="minorHAnsi"/>
                <w:color w:val="000000"/>
                <w:sz w:val="22"/>
                <w:szCs w:val="22"/>
              </w:rPr>
              <w:t xml:space="preserve"> out of the judicial system (no arrests or criminal charges) and out of incarceration for 12 consecutive months.</w:t>
            </w:r>
          </w:p>
        </w:tc>
        <w:tc>
          <w:tcPr>
            <w:tcW w:w="1620" w:type="dxa"/>
          </w:tcPr>
          <w:p w14:paraId="520954DD" w14:textId="2D0219AC" w:rsidR="001D6F42" w:rsidRPr="000029D2" w:rsidRDefault="001D6F42" w:rsidP="008323CA">
            <w:pPr>
              <w:rPr>
                <w:rFonts w:cstheme="minorHAnsi"/>
              </w:rPr>
            </w:pPr>
            <w:r w:rsidRPr="000029D2">
              <w:rPr>
                <w:rFonts w:cstheme="minorHAnsi"/>
              </w:rPr>
              <w:t>$2,500</w:t>
            </w:r>
          </w:p>
        </w:tc>
        <w:tc>
          <w:tcPr>
            <w:tcW w:w="1980" w:type="dxa"/>
          </w:tcPr>
          <w:p w14:paraId="4B0970A9" w14:textId="268B4D3C" w:rsidR="001D6F42" w:rsidRPr="005962F2" w:rsidRDefault="001D6F42" w:rsidP="008323CA">
            <w:pPr>
              <w:rPr>
                <w:rFonts w:cstheme="minorHAnsi"/>
              </w:rPr>
            </w:pPr>
            <w:r w:rsidRPr="000029D2">
              <w:rPr>
                <w:rFonts w:cstheme="minorHAnsi"/>
              </w:rPr>
              <w:t>Annual per-client award</w:t>
            </w:r>
          </w:p>
        </w:tc>
      </w:tr>
    </w:tbl>
    <w:p w14:paraId="2DE02791" w14:textId="77777777" w:rsidR="00C53759" w:rsidRPr="000029D2" w:rsidRDefault="00C53759">
      <w:pPr>
        <w:rPr>
          <w:rFonts w:cstheme="minorHAnsi"/>
        </w:rPr>
      </w:pPr>
    </w:p>
    <w:sectPr w:rsidR="00C53759" w:rsidRPr="000029D2" w:rsidSect="008323C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078F" w14:textId="77777777" w:rsidR="007E5D95" w:rsidRDefault="007E5D95" w:rsidP="00A7513F">
      <w:pPr>
        <w:spacing w:after="0" w:line="240" w:lineRule="auto"/>
      </w:pPr>
      <w:r>
        <w:separator/>
      </w:r>
    </w:p>
  </w:endnote>
  <w:endnote w:type="continuationSeparator" w:id="0">
    <w:p w14:paraId="52E38FEA" w14:textId="77777777" w:rsidR="007E5D95" w:rsidRDefault="007E5D95" w:rsidP="00A7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4422" w14:textId="77777777" w:rsidR="007E5D95" w:rsidRDefault="007E5D95" w:rsidP="00A7513F">
      <w:pPr>
        <w:spacing w:after="0" w:line="240" w:lineRule="auto"/>
      </w:pPr>
      <w:r>
        <w:separator/>
      </w:r>
    </w:p>
  </w:footnote>
  <w:footnote w:type="continuationSeparator" w:id="0">
    <w:p w14:paraId="3FD6FD5A" w14:textId="77777777" w:rsidR="007E5D95" w:rsidRDefault="007E5D95" w:rsidP="00A7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1F6" w14:textId="7B18E170" w:rsidR="00AF3124" w:rsidRDefault="00AF3124">
    <w:pPr>
      <w:pStyle w:val="Header"/>
    </w:pPr>
    <w:r>
      <w:t xml:space="preserve">Life360 HOMEs Provider Rate </w:t>
    </w:r>
    <w:proofErr w:type="gramStart"/>
    <w:r>
      <w:t>Sheet</w:t>
    </w:r>
    <w:r w:rsidR="003E6AC6">
      <w:t xml:space="preserve">  -</w:t>
    </w:r>
    <w:proofErr w:type="gramEnd"/>
    <w:r w:rsidR="003E6AC6">
      <w:t xml:space="preserve"> </w:t>
    </w:r>
    <w:r w:rsidR="003E6AC6" w:rsidRPr="003E6AC6">
      <w:rPr>
        <w:color w:val="FF0000"/>
      </w:rPr>
      <w:t>DRAFT Not for Distribution</w:t>
    </w:r>
  </w:p>
  <w:sdt>
    <w:sdtPr>
      <w:id w:val="505715764"/>
      <w:docPartObj>
        <w:docPartGallery w:val="Watermarks"/>
        <w:docPartUnique/>
      </w:docPartObj>
    </w:sdtPr>
    <w:sdtEndPr/>
    <w:sdtContent>
      <w:p w14:paraId="13CF4E61" w14:textId="24DDA3CD" w:rsidR="00A7513F" w:rsidRDefault="007E5D95">
        <w:pPr>
          <w:pStyle w:val="Header"/>
        </w:pPr>
        <w:r>
          <w:rPr>
            <w:noProof/>
          </w:rPr>
          <w:pict w14:anchorId="2334C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2D6E"/>
    <w:multiLevelType w:val="hybridMultilevel"/>
    <w:tmpl w:val="43F6B24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A4B775F"/>
    <w:multiLevelType w:val="hybridMultilevel"/>
    <w:tmpl w:val="9F88D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0229E"/>
    <w:multiLevelType w:val="multilevel"/>
    <w:tmpl w:val="12464640"/>
    <w:lvl w:ilvl="0">
      <w:start w:val="1"/>
      <w:numFmt w:val="upperRoman"/>
      <w:pStyle w:val="Outline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OutlineL2"/>
      <w:lvlText w:val="%2."/>
      <w:lvlJc w:val="left"/>
      <w:pPr>
        <w:tabs>
          <w:tab w:val="num" w:pos="1350"/>
        </w:tabs>
        <w:ind w:left="135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L3"/>
      <w:lvlText w:val="%3."/>
      <w:lvlJc w:val="left"/>
      <w:pPr>
        <w:tabs>
          <w:tab w:val="num" w:pos="2250"/>
        </w:tabs>
        <w:ind w:left="225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utlineL4"/>
      <w:lvlText w:val="%4."/>
      <w:lvlJc w:val="left"/>
      <w:pPr>
        <w:tabs>
          <w:tab w:val="num" w:pos="2790"/>
        </w:tabs>
        <w:ind w:left="279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OutlineL5"/>
      <w:lvlText w:val="%5."/>
      <w:lvlJc w:val="left"/>
      <w:pPr>
        <w:tabs>
          <w:tab w:val="num" w:pos="3600"/>
        </w:tabs>
        <w:ind w:left="360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1863C7"/>
    <w:multiLevelType w:val="hybridMultilevel"/>
    <w:tmpl w:val="240AD6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25EB6"/>
    <w:multiLevelType w:val="hybridMultilevel"/>
    <w:tmpl w:val="9078F3B6"/>
    <w:lvl w:ilvl="0" w:tplc="FFFFFFFF">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6647DCD"/>
    <w:multiLevelType w:val="hybridMultilevel"/>
    <w:tmpl w:val="E2406F4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0207A57"/>
    <w:multiLevelType w:val="hybridMultilevel"/>
    <w:tmpl w:val="5EB4891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645606B5"/>
    <w:multiLevelType w:val="hybridMultilevel"/>
    <w:tmpl w:val="E69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B0EB3"/>
    <w:multiLevelType w:val="hybridMultilevel"/>
    <w:tmpl w:val="490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46D1C"/>
    <w:multiLevelType w:val="hybridMultilevel"/>
    <w:tmpl w:val="2F1A65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776C493E"/>
    <w:multiLevelType w:val="hybridMultilevel"/>
    <w:tmpl w:val="026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F5874"/>
    <w:multiLevelType w:val="hybridMultilevel"/>
    <w:tmpl w:val="3AF65556"/>
    <w:lvl w:ilvl="0" w:tplc="004241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5"/>
  </w:num>
  <w:num w:numId="6">
    <w:abstractNumId w:val="8"/>
  </w:num>
  <w:num w:numId="7">
    <w:abstractNumId w:val="7"/>
  </w:num>
  <w:num w:numId="8">
    <w:abstractNumId w:val="2"/>
  </w:num>
  <w:num w:numId="9">
    <w:abstractNumId w:val="1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59"/>
    <w:rsid w:val="000029D2"/>
    <w:rsid w:val="000058D2"/>
    <w:rsid w:val="00010824"/>
    <w:rsid w:val="000220A3"/>
    <w:rsid w:val="000476E5"/>
    <w:rsid w:val="00062D6A"/>
    <w:rsid w:val="000D016B"/>
    <w:rsid w:val="000F5771"/>
    <w:rsid w:val="000F6071"/>
    <w:rsid w:val="00160876"/>
    <w:rsid w:val="00171CFA"/>
    <w:rsid w:val="001A11F5"/>
    <w:rsid w:val="001D6F42"/>
    <w:rsid w:val="001F4856"/>
    <w:rsid w:val="002121FF"/>
    <w:rsid w:val="00240FA6"/>
    <w:rsid w:val="00247ECE"/>
    <w:rsid w:val="002751E8"/>
    <w:rsid w:val="002876B1"/>
    <w:rsid w:val="002E25F2"/>
    <w:rsid w:val="002F092F"/>
    <w:rsid w:val="00313E4C"/>
    <w:rsid w:val="00333ED9"/>
    <w:rsid w:val="00370727"/>
    <w:rsid w:val="003B0C7B"/>
    <w:rsid w:val="003D5E1B"/>
    <w:rsid w:val="003E4942"/>
    <w:rsid w:val="003E5209"/>
    <w:rsid w:val="003E6AC6"/>
    <w:rsid w:val="003F000D"/>
    <w:rsid w:val="00440762"/>
    <w:rsid w:val="0044339A"/>
    <w:rsid w:val="004460AA"/>
    <w:rsid w:val="00451488"/>
    <w:rsid w:val="00455D38"/>
    <w:rsid w:val="00460AD5"/>
    <w:rsid w:val="00471F41"/>
    <w:rsid w:val="0047472A"/>
    <w:rsid w:val="00485C4C"/>
    <w:rsid w:val="004975CE"/>
    <w:rsid w:val="004A2E94"/>
    <w:rsid w:val="004A5FF3"/>
    <w:rsid w:val="004F08E7"/>
    <w:rsid w:val="004F1C77"/>
    <w:rsid w:val="004F5839"/>
    <w:rsid w:val="00537E7A"/>
    <w:rsid w:val="005670F1"/>
    <w:rsid w:val="00586C00"/>
    <w:rsid w:val="005962F2"/>
    <w:rsid w:val="005B0A2A"/>
    <w:rsid w:val="005D414F"/>
    <w:rsid w:val="00602DB6"/>
    <w:rsid w:val="00620E0C"/>
    <w:rsid w:val="00633E2C"/>
    <w:rsid w:val="00660524"/>
    <w:rsid w:val="006A3F34"/>
    <w:rsid w:val="006A7F9A"/>
    <w:rsid w:val="006C6168"/>
    <w:rsid w:val="006E3DCA"/>
    <w:rsid w:val="006E4123"/>
    <w:rsid w:val="007064F8"/>
    <w:rsid w:val="00710881"/>
    <w:rsid w:val="0071673D"/>
    <w:rsid w:val="00737B9A"/>
    <w:rsid w:val="00743E4A"/>
    <w:rsid w:val="007531EF"/>
    <w:rsid w:val="00766E55"/>
    <w:rsid w:val="00782070"/>
    <w:rsid w:val="007A0BEE"/>
    <w:rsid w:val="007A2DE6"/>
    <w:rsid w:val="007A3357"/>
    <w:rsid w:val="007B58AC"/>
    <w:rsid w:val="007C2D49"/>
    <w:rsid w:val="007E5D95"/>
    <w:rsid w:val="007F5CC5"/>
    <w:rsid w:val="008323CA"/>
    <w:rsid w:val="00836314"/>
    <w:rsid w:val="008430AD"/>
    <w:rsid w:val="0085679D"/>
    <w:rsid w:val="008B3157"/>
    <w:rsid w:val="008E3692"/>
    <w:rsid w:val="00942A9B"/>
    <w:rsid w:val="00957CF9"/>
    <w:rsid w:val="00987E56"/>
    <w:rsid w:val="009D112A"/>
    <w:rsid w:val="009D482F"/>
    <w:rsid w:val="009E1C10"/>
    <w:rsid w:val="009E33A6"/>
    <w:rsid w:val="00A25D7B"/>
    <w:rsid w:val="00A3739C"/>
    <w:rsid w:val="00A71814"/>
    <w:rsid w:val="00A74C56"/>
    <w:rsid w:val="00A7513F"/>
    <w:rsid w:val="00A84BEE"/>
    <w:rsid w:val="00AB0C39"/>
    <w:rsid w:val="00AB7B06"/>
    <w:rsid w:val="00AC7E60"/>
    <w:rsid w:val="00AD5015"/>
    <w:rsid w:val="00AE70FB"/>
    <w:rsid w:val="00AF3124"/>
    <w:rsid w:val="00B05B1D"/>
    <w:rsid w:val="00B14C5F"/>
    <w:rsid w:val="00B205F7"/>
    <w:rsid w:val="00B906BB"/>
    <w:rsid w:val="00BE0323"/>
    <w:rsid w:val="00C04D79"/>
    <w:rsid w:val="00C217A8"/>
    <w:rsid w:val="00C3271E"/>
    <w:rsid w:val="00C53759"/>
    <w:rsid w:val="00CD772C"/>
    <w:rsid w:val="00CE154F"/>
    <w:rsid w:val="00CE3921"/>
    <w:rsid w:val="00D124E7"/>
    <w:rsid w:val="00D75840"/>
    <w:rsid w:val="00DA0080"/>
    <w:rsid w:val="00DA3CD9"/>
    <w:rsid w:val="00DC005F"/>
    <w:rsid w:val="00DE420E"/>
    <w:rsid w:val="00DE4D38"/>
    <w:rsid w:val="00DE5368"/>
    <w:rsid w:val="00E01AE0"/>
    <w:rsid w:val="00E06359"/>
    <w:rsid w:val="00E22FC4"/>
    <w:rsid w:val="00E44EC7"/>
    <w:rsid w:val="00E57619"/>
    <w:rsid w:val="00E7085E"/>
    <w:rsid w:val="00E86200"/>
    <w:rsid w:val="00E917FC"/>
    <w:rsid w:val="00EB6434"/>
    <w:rsid w:val="00EE1A87"/>
    <w:rsid w:val="00F2017F"/>
    <w:rsid w:val="00F30909"/>
    <w:rsid w:val="00FB1F79"/>
    <w:rsid w:val="00FE2003"/>
    <w:rsid w:val="0171567A"/>
    <w:rsid w:val="0187BA66"/>
    <w:rsid w:val="028C0B63"/>
    <w:rsid w:val="03AADF46"/>
    <w:rsid w:val="074C3E6C"/>
    <w:rsid w:val="09402844"/>
    <w:rsid w:val="0ADF52A4"/>
    <w:rsid w:val="0C7E2B2D"/>
    <w:rsid w:val="0FB1C7A8"/>
    <w:rsid w:val="12EA6489"/>
    <w:rsid w:val="148634EA"/>
    <w:rsid w:val="164465F3"/>
    <w:rsid w:val="19407DB0"/>
    <w:rsid w:val="1DA4C781"/>
    <w:rsid w:val="1EA99375"/>
    <w:rsid w:val="1EBA80A8"/>
    <w:rsid w:val="1F1D8024"/>
    <w:rsid w:val="234994B0"/>
    <w:rsid w:val="246258E2"/>
    <w:rsid w:val="24A0EC3B"/>
    <w:rsid w:val="24CD9D2E"/>
    <w:rsid w:val="26D618C3"/>
    <w:rsid w:val="295E8F00"/>
    <w:rsid w:val="2D7EAB30"/>
    <w:rsid w:val="2DC2D8D1"/>
    <w:rsid w:val="2E2F5AD9"/>
    <w:rsid w:val="2E310404"/>
    <w:rsid w:val="2E8B9680"/>
    <w:rsid w:val="34CFD2C0"/>
    <w:rsid w:val="36099359"/>
    <w:rsid w:val="364B420E"/>
    <w:rsid w:val="3679361D"/>
    <w:rsid w:val="373149FB"/>
    <w:rsid w:val="38C94B5D"/>
    <w:rsid w:val="3A651BBE"/>
    <w:rsid w:val="3D86EE22"/>
    <w:rsid w:val="3E2C4E21"/>
    <w:rsid w:val="3F4AF680"/>
    <w:rsid w:val="400EBF5B"/>
    <w:rsid w:val="40BE8EE4"/>
    <w:rsid w:val="4106485A"/>
    <w:rsid w:val="41C82035"/>
    <w:rsid w:val="433AEE00"/>
    <w:rsid w:val="44B58B37"/>
    <w:rsid w:val="4783A62A"/>
    <w:rsid w:val="48C9A0C9"/>
    <w:rsid w:val="534B1DA5"/>
    <w:rsid w:val="56CA77DD"/>
    <w:rsid w:val="576D97B5"/>
    <w:rsid w:val="57A99A23"/>
    <w:rsid w:val="57C88FD3"/>
    <w:rsid w:val="5932034E"/>
    <w:rsid w:val="59CD087A"/>
    <w:rsid w:val="5AD2B822"/>
    <w:rsid w:val="5D39B961"/>
    <w:rsid w:val="5D40D0C5"/>
    <w:rsid w:val="5E0D1FE1"/>
    <w:rsid w:val="5E8DD04C"/>
    <w:rsid w:val="5FB259FF"/>
    <w:rsid w:val="5FD6A345"/>
    <w:rsid w:val="6007625C"/>
    <w:rsid w:val="6372825F"/>
    <w:rsid w:val="6524BFE1"/>
    <w:rsid w:val="65F0D4C3"/>
    <w:rsid w:val="6BDA63FA"/>
    <w:rsid w:val="6DE2BE4B"/>
    <w:rsid w:val="6DF88CA9"/>
    <w:rsid w:val="70CCF4E4"/>
    <w:rsid w:val="7271B2A2"/>
    <w:rsid w:val="73F5FC15"/>
    <w:rsid w:val="755B9120"/>
    <w:rsid w:val="784D0E28"/>
    <w:rsid w:val="7852C3E2"/>
    <w:rsid w:val="7A7C4D6E"/>
    <w:rsid w:val="7D16F26C"/>
    <w:rsid w:val="7D263505"/>
    <w:rsid w:val="7EB2C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6FC6"/>
  <w15:chartTrackingRefBased/>
  <w15:docId w15:val="{4213A8C5-6814-42B2-89D3-48BF63BD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323C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8323CA"/>
    <w:rPr>
      <w:rFonts w:ascii="Arial" w:eastAsia="Times New Roman" w:hAnsi="Arial" w:cs="Times New Roman"/>
      <w:sz w:val="20"/>
      <w:szCs w:val="20"/>
      <w:lang w:val="x-none" w:eastAsia="x-none"/>
    </w:rPr>
  </w:style>
  <w:style w:type="character" w:styleId="CommentReference">
    <w:name w:val="annotation reference"/>
    <w:uiPriority w:val="99"/>
    <w:rsid w:val="008323CA"/>
    <w:rPr>
      <w:sz w:val="16"/>
      <w:szCs w:val="16"/>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DE4D38"/>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link w:val="ListParagraph"/>
    <w:uiPriority w:val="34"/>
    <w:locked/>
    <w:rsid w:val="00DE4D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0909"/>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30909"/>
    <w:rPr>
      <w:rFonts w:ascii="Arial" w:eastAsia="Times New Roman" w:hAnsi="Arial" w:cs="Times New Roman"/>
      <w:b/>
      <w:bCs/>
      <w:sz w:val="20"/>
      <w:szCs w:val="20"/>
      <w:lang w:val="x-none" w:eastAsia="x-none"/>
    </w:rPr>
  </w:style>
  <w:style w:type="paragraph" w:styleId="NormalWeb">
    <w:name w:val="Normal (Web)"/>
    <w:basedOn w:val="Normal"/>
    <w:uiPriority w:val="99"/>
    <w:unhideWhenUsed/>
    <w:rsid w:val="00602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L1">
    <w:name w:val="Outline_L1"/>
    <w:basedOn w:val="Normal"/>
    <w:rsid w:val="005D414F"/>
    <w:pPr>
      <w:numPr>
        <w:numId w:val="8"/>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rsid w:val="005D414F"/>
    <w:pPr>
      <w:numPr>
        <w:ilvl w:val="1"/>
      </w:numPr>
      <w:outlineLvl w:val="1"/>
    </w:pPr>
  </w:style>
  <w:style w:type="paragraph" w:customStyle="1" w:styleId="OutlineL3">
    <w:name w:val="Outline_L3"/>
    <w:basedOn w:val="OutlineL2"/>
    <w:link w:val="OutlineL3Char"/>
    <w:rsid w:val="005D414F"/>
    <w:pPr>
      <w:numPr>
        <w:ilvl w:val="2"/>
      </w:numPr>
      <w:outlineLvl w:val="2"/>
    </w:pPr>
  </w:style>
  <w:style w:type="character" w:customStyle="1" w:styleId="OutlineL3Char">
    <w:name w:val="Outline_L3 Char"/>
    <w:basedOn w:val="DefaultParagraphFont"/>
    <w:link w:val="OutlineL3"/>
    <w:rsid w:val="005D414F"/>
    <w:rPr>
      <w:rFonts w:ascii="Times New Roman" w:eastAsia="Times New Roman" w:hAnsi="Times New Roman" w:cs="Times New Roman"/>
      <w:sz w:val="24"/>
      <w:szCs w:val="20"/>
    </w:rPr>
  </w:style>
  <w:style w:type="paragraph" w:customStyle="1" w:styleId="OutlineL4">
    <w:name w:val="Outline_L4"/>
    <w:basedOn w:val="OutlineL3"/>
    <w:rsid w:val="005D414F"/>
    <w:pPr>
      <w:numPr>
        <w:ilvl w:val="3"/>
      </w:numPr>
      <w:tabs>
        <w:tab w:val="clear" w:pos="2790"/>
      </w:tabs>
      <w:ind w:left="2880" w:hanging="360"/>
      <w:outlineLvl w:val="3"/>
    </w:pPr>
  </w:style>
  <w:style w:type="paragraph" w:customStyle="1" w:styleId="OutlineL5">
    <w:name w:val="Outline_L5"/>
    <w:basedOn w:val="OutlineL4"/>
    <w:rsid w:val="005D414F"/>
    <w:pPr>
      <w:numPr>
        <w:ilvl w:val="4"/>
      </w:numPr>
      <w:tabs>
        <w:tab w:val="clear" w:pos="3600"/>
      </w:tabs>
      <w:ind w:hanging="360"/>
      <w:outlineLvl w:val="4"/>
    </w:pPr>
  </w:style>
  <w:style w:type="paragraph" w:customStyle="1" w:styleId="OutlineL6">
    <w:name w:val="Outline_L6"/>
    <w:basedOn w:val="OutlineL5"/>
    <w:rsid w:val="005D414F"/>
    <w:pPr>
      <w:numPr>
        <w:ilvl w:val="5"/>
      </w:numPr>
      <w:tabs>
        <w:tab w:val="clear" w:pos="4320"/>
      </w:tabs>
      <w:ind w:left="4320" w:hanging="180"/>
      <w:outlineLvl w:val="5"/>
    </w:pPr>
  </w:style>
  <w:style w:type="paragraph" w:customStyle="1" w:styleId="OutlineL7">
    <w:name w:val="Outline_L7"/>
    <w:basedOn w:val="OutlineL6"/>
    <w:rsid w:val="005D414F"/>
    <w:pPr>
      <w:numPr>
        <w:ilvl w:val="6"/>
      </w:numPr>
      <w:tabs>
        <w:tab w:val="clear" w:pos="5040"/>
      </w:tabs>
      <w:ind w:left="5040" w:hanging="360"/>
      <w:outlineLvl w:val="6"/>
    </w:pPr>
  </w:style>
  <w:style w:type="paragraph" w:customStyle="1" w:styleId="OutlineL8">
    <w:name w:val="Outline_L8"/>
    <w:basedOn w:val="OutlineL7"/>
    <w:rsid w:val="005D414F"/>
    <w:pPr>
      <w:numPr>
        <w:ilvl w:val="7"/>
      </w:numPr>
      <w:tabs>
        <w:tab w:val="clear" w:pos="5760"/>
      </w:tabs>
      <w:ind w:left="5760" w:hanging="360"/>
      <w:outlineLvl w:val="7"/>
    </w:pPr>
  </w:style>
  <w:style w:type="paragraph" w:customStyle="1" w:styleId="OutlineL9">
    <w:name w:val="Outline_L9"/>
    <w:basedOn w:val="OutlineL8"/>
    <w:rsid w:val="005D414F"/>
    <w:pPr>
      <w:numPr>
        <w:ilvl w:val="8"/>
      </w:numPr>
      <w:tabs>
        <w:tab w:val="clear" w:pos="6480"/>
      </w:tabs>
      <w:ind w:left="6480" w:hanging="180"/>
      <w:outlineLvl w:val="8"/>
    </w:pPr>
  </w:style>
  <w:style w:type="paragraph" w:styleId="Footer">
    <w:name w:val="footer"/>
    <w:basedOn w:val="Normal"/>
    <w:link w:val="FooterChar"/>
    <w:rsid w:val="005D41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414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4F569B10C4447A02D2D5C323D0DD1" ma:contentTypeVersion="8" ma:contentTypeDescription="Create a new document." ma:contentTypeScope="" ma:versionID="9995bdf2938404a8ca9babd9777445c7">
  <xsd:schema xmlns:xsd="http://www.w3.org/2001/XMLSchema" xmlns:xs="http://www.w3.org/2001/XMLSchema" xmlns:p="http://schemas.microsoft.com/office/2006/metadata/properties" xmlns:ns2="13c341ec-ed0a-4e2f-923e-a20fdc9d8fa2" xmlns:ns3="e38dab32-988e-4bef-b829-3a8e02a3cd05" targetNamespace="http://schemas.microsoft.com/office/2006/metadata/properties" ma:root="true" ma:fieldsID="e518fccd7f3041a20789ab4bc108096f" ns2:_="" ns3:_="">
    <xsd:import namespace="13c341ec-ed0a-4e2f-923e-a20fdc9d8fa2"/>
    <xsd:import namespace="e38dab32-988e-4bef-b829-3a8e02a3cd05"/>
    <xsd:element name="properties">
      <xsd:complexType>
        <xsd:sequence>
          <xsd:element name="documentManagement">
            <xsd:complexType>
              <xsd:all>
                <xsd:element ref="ns2:DocCat" minOccurs="0"/>
                <xsd:element ref="ns2:MediaServiceMetadata" minOccurs="0"/>
                <xsd:element ref="ns2:MediaServiceFastMetadata" minOccurs="0"/>
                <xsd:element ref="ns3:SharedWithUsers" minOccurs="0"/>
                <xsd:element ref="ns3:SharedWithDetails" minOccurs="0"/>
                <xsd:element ref="ns2:Entity"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41ec-ed0a-4e2f-923e-a20fdc9d8fa2" elementFormDefault="qualified">
    <xsd:import namespace="http://schemas.microsoft.com/office/2006/documentManagement/types"/>
    <xsd:import namespace="http://schemas.microsoft.com/office/infopath/2007/PartnerControls"/>
    <xsd:element name="DocCat" ma:index="8" nillable="true" ma:displayName="Document Category" ma:format="Dropdown" ma:list="7c648337-b7bb-457d-b7a0-fcbff170212e" ma:internalName="DocCa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Entity" ma:index="13" nillable="true" ma:displayName="Entity" ma:description="The entity from which the document orginated." ma:format="Dropdown" ma:internalName="Entity">
      <xsd:simpleType>
        <xsd:restriction base="dms:Choice">
          <xsd:enumeration value="DHS"/>
          <xsd:enumeration value="IT PMO"/>
          <xsd:enumeration value="Other"/>
        </xsd:restriction>
      </xsd:simpleType>
    </xsd:element>
    <xsd:element name="DateAdded" ma:index="14" nillable="true" ma:displayName="Date Added" ma:default="[today]" ma:description="Date of the document."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dab32-988e-4bef-b829-3a8e02a3cd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Cat xmlns="13c341ec-ed0a-4e2f-923e-a20fdc9d8fa2">3</DocCat>
    <Entity xmlns="13c341ec-ed0a-4e2f-923e-a20fdc9d8fa2">DHS</Entity>
    <DateAdded xmlns="13c341ec-ed0a-4e2f-923e-a20fdc9d8fa2">2022-08-18T19:41:18+00:00</DateAdded>
    <SharedWithUsers xmlns="e38dab32-988e-4bef-b829-3a8e02a3cd05">
      <UserInfo>
        <DisplayName>NELL SMITH</DisplayName>
        <AccountId>336</AccountId>
        <AccountType/>
      </UserInfo>
      <UserInfo>
        <DisplayName>Amy Webb</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F80FB-EFA5-4956-89D3-1E5737C25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41ec-ed0a-4e2f-923e-a20fdc9d8fa2"/>
    <ds:schemaRef ds:uri="e38dab32-988e-4bef-b829-3a8e02a3c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A983-4F1D-40CA-A3AA-8430D683EAF3}">
  <ds:schemaRefs>
    <ds:schemaRef ds:uri="http://schemas.microsoft.com/office/2006/metadata/properties"/>
    <ds:schemaRef ds:uri="http://schemas.microsoft.com/office/infopath/2007/PartnerControls"/>
    <ds:schemaRef ds:uri="13c341ec-ed0a-4e2f-923e-a20fdc9d8fa2"/>
    <ds:schemaRef ds:uri="e38dab32-988e-4bef-b829-3a8e02a3cd05"/>
  </ds:schemaRefs>
</ds:datastoreItem>
</file>

<file path=customXml/itemProps3.xml><?xml version="1.0" encoding="utf-8"?>
<ds:datastoreItem xmlns:ds="http://schemas.openxmlformats.org/officeDocument/2006/customXml" ds:itemID="{DE278CE8-6331-42A9-8494-C5742F9E0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SMITH</dc:creator>
  <cp:keywords/>
  <dc:description/>
  <cp:lastModifiedBy>Nancy Watson</cp:lastModifiedBy>
  <cp:revision>9</cp:revision>
  <cp:lastPrinted>2022-08-15T15:51:00Z</cp:lastPrinted>
  <dcterms:created xsi:type="dcterms:W3CDTF">2022-11-01T16:25:00Z</dcterms:created>
  <dcterms:modified xsi:type="dcterms:W3CDTF">2022-11-02T16:25:00Z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0x01010086A4F569B10C4447A02D2D5C323D0DD1</vt:lpwstr>
  </property>
</Properties>
</file>