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AE99" w14:textId="51F7218E" w:rsidR="008F5C5A" w:rsidRPr="002420AF" w:rsidRDefault="00547A46" w:rsidP="00740FDC">
      <w:pPr>
        <w:jc w:val="both"/>
        <w:rPr>
          <w:b/>
        </w:rPr>
      </w:pPr>
      <w:bookmarkStart w:id="0" w:name="_GoBack"/>
      <w:bookmarkEnd w:id="0"/>
      <w:r w:rsidRPr="002420AF">
        <w:rPr>
          <w:b/>
        </w:rPr>
        <w:t>1</w:t>
      </w:r>
      <w:r w:rsidR="003E4F93" w:rsidRPr="002420AF">
        <w:rPr>
          <w:b/>
        </w:rPr>
        <w:t>009</w:t>
      </w:r>
      <w:r w:rsidR="008B46EE" w:rsidRPr="002420AF">
        <w:rPr>
          <w:b/>
        </w:rPr>
        <w:tab/>
      </w:r>
      <w:r w:rsidRPr="002420AF">
        <w:rPr>
          <w:b/>
        </w:rPr>
        <w:t>EQUAL OPPORTUNITY POLICY</w:t>
      </w:r>
    </w:p>
    <w:p w14:paraId="36D1AE9A" w14:textId="540BD664" w:rsidR="00547A46" w:rsidRPr="002E1640" w:rsidRDefault="00547A46" w:rsidP="00740FDC">
      <w:pPr>
        <w:pStyle w:val="PlainText"/>
        <w:tabs>
          <w:tab w:val="left" w:pos="5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6D1AE9B" w14:textId="10CF1763" w:rsidR="002C2E4D" w:rsidRDefault="002C2E4D" w:rsidP="00740FDC">
      <w:pPr>
        <w:jc w:val="both"/>
      </w:pPr>
      <w:r>
        <w:t>I.</w:t>
      </w:r>
      <w:r>
        <w:tab/>
        <w:t>Purpose</w:t>
      </w:r>
    </w:p>
    <w:p w14:paraId="36D1AE9C" w14:textId="4FFA29E7" w:rsidR="002C2E4D" w:rsidRPr="005A3DD9" w:rsidRDefault="002C2E4D" w:rsidP="00740FDC">
      <w:pPr>
        <w:pStyle w:val="PlainText"/>
        <w:tabs>
          <w:tab w:val="left" w:pos="54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6D1AE9D" w14:textId="23A9E961" w:rsidR="008F5C5A" w:rsidRDefault="008F5C5A" w:rsidP="00740FDC">
      <w:pPr>
        <w:ind w:left="720"/>
        <w:jc w:val="both"/>
      </w:pPr>
      <w:r w:rsidRPr="002E1640">
        <w:t xml:space="preserve">This establishes the </w:t>
      </w:r>
      <w:r w:rsidR="00FA4272">
        <w:t>DHS</w:t>
      </w:r>
      <w:r w:rsidR="00565353">
        <w:t xml:space="preserve"> Equal Opportunity</w:t>
      </w:r>
      <w:r w:rsidR="008B46EE">
        <w:t xml:space="preserve"> </w:t>
      </w:r>
      <w:r w:rsidRPr="002E1640">
        <w:t>policy</w:t>
      </w:r>
      <w:r w:rsidR="00A10B10">
        <w:t>.</w:t>
      </w:r>
      <w:r w:rsidR="00547A46">
        <w:t xml:space="preserve"> </w:t>
      </w:r>
      <w:r w:rsidR="00A10B10">
        <w:t>This policy is</w:t>
      </w:r>
      <w:r w:rsidRPr="002E1640">
        <w:t xml:space="preserve"> applicable to all employees, applicants seeking employment</w:t>
      </w:r>
      <w:r w:rsidR="002E1640">
        <w:t xml:space="preserve"> </w:t>
      </w:r>
      <w:r w:rsidRPr="002E1640">
        <w:t>within</w:t>
      </w:r>
      <w:r w:rsidR="002E1640">
        <w:t xml:space="preserve"> </w:t>
      </w:r>
      <w:r w:rsidR="00FA4272">
        <w:t>DHS</w:t>
      </w:r>
      <w:r w:rsidRPr="002E1640">
        <w:t>, and to all persons or organizations seeking or receiving</w:t>
      </w:r>
      <w:r w:rsidR="00852138" w:rsidRPr="002E1640">
        <w:t xml:space="preserve"> </w:t>
      </w:r>
      <w:r w:rsidRPr="002E1640">
        <w:t xml:space="preserve">services, </w:t>
      </w:r>
      <w:r w:rsidR="00B13B81" w:rsidRPr="002E1640">
        <w:t xml:space="preserve">benefits, </w:t>
      </w:r>
      <w:r w:rsidRPr="002E1640">
        <w:t>contracts, agreements, grants, sub-grants, programs</w:t>
      </w:r>
      <w:r w:rsidR="008D21B7" w:rsidRPr="002E1640">
        <w:t xml:space="preserve">, </w:t>
      </w:r>
      <w:r w:rsidRPr="002E1640">
        <w:t>and projects funded through</w:t>
      </w:r>
      <w:r w:rsidR="002E1640">
        <w:t xml:space="preserve"> </w:t>
      </w:r>
      <w:r w:rsidR="008D21B7" w:rsidRPr="002E1640">
        <w:t xml:space="preserve">or </w:t>
      </w:r>
      <w:r w:rsidRPr="002E1640">
        <w:t xml:space="preserve">from </w:t>
      </w:r>
      <w:r w:rsidR="00FA4272">
        <w:t>DHS</w:t>
      </w:r>
      <w:r w:rsidR="008C4528" w:rsidRPr="002E1640">
        <w:t>, including employees</w:t>
      </w:r>
      <w:r w:rsidR="00F226B6" w:rsidRPr="002E1640">
        <w:t>,</w:t>
      </w:r>
      <w:r w:rsidR="008C4528" w:rsidRPr="002E1640">
        <w:t xml:space="preserve"> clients</w:t>
      </w:r>
      <w:r w:rsidR="00B13B81" w:rsidRPr="002E1640">
        <w:t>, customers, and applicants</w:t>
      </w:r>
      <w:r w:rsidR="008C4528" w:rsidRPr="002E1640">
        <w:t xml:space="preserve"> of grantees and sub-grantees</w:t>
      </w:r>
      <w:r w:rsidRPr="002E1640">
        <w:t>.</w:t>
      </w:r>
    </w:p>
    <w:p w14:paraId="36D1AE9E" w14:textId="35F2C6BC" w:rsidR="002E1640" w:rsidRPr="002E1640" w:rsidRDefault="002E1640" w:rsidP="00740FDC">
      <w:pPr>
        <w:pStyle w:val="PlainText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14:paraId="36D1AE9F" w14:textId="6A542933" w:rsidR="003E4F93" w:rsidRDefault="003E4F93" w:rsidP="00740FDC">
      <w:pPr>
        <w:jc w:val="both"/>
      </w:pPr>
      <w:r w:rsidRPr="002E1640">
        <w:t>I</w:t>
      </w:r>
      <w:r w:rsidR="00F6760E" w:rsidRPr="002E1640">
        <w:t>I</w:t>
      </w:r>
      <w:r w:rsidR="008D21B7" w:rsidRPr="002E1640">
        <w:t>.</w:t>
      </w:r>
      <w:r w:rsidR="008D21B7" w:rsidRPr="002E1640">
        <w:tab/>
      </w:r>
      <w:r w:rsidR="008F5C5A" w:rsidRPr="002E1640">
        <w:t>Assurances</w:t>
      </w:r>
    </w:p>
    <w:p w14:paraId="39BD6D7B" w14:textId="77777777" w:rsidR="00A124D6" w:rsidRPr="00A124D6" w:rsidRDefault="00A124D6" w:rsidP="00740FDC">
      <w:pPr>
        <w:jc w:val="both"/>
      </w:pPr>
    </w:p>
    <w:p w14:paraId="36D1AEA1" w14:textId="6059AE7D" w:rsidR="008F5C5A" w:rsidRPr="0006795F" w:rsidRDefault="003E4F93" w:rsidP="00740FDC">
      <w:pPr>
        <w:ind w:left="1260" w:hanging="540"/>
        <w:jc w:val="both"/>
      </w:pPr>
      <w:r w:rsidRPr="002E1640">
        <w:t>(</w:t>
      </w:r>
      <w:r w:rsidR="00A124D6">
        <w:t>A</w:t>
      </w:r>
      <w:r w:rsidRPr="002E1640">
        <w:t>)</w:t>
      </w:r>
      <w:r w:rsidR="008D21B7" w:rsidRPr="002E1640">
        <w:tab/>
      </w:r>
      <w:r w:rsidR="00FA4272">
        <w:t>DHS</w:t>
      </w:r>
      <w:r w:rsidR="00825595" w:rsidRPr="0006795F">
        <w:t xml:space="preserve"> shall provide fair </w:t>
      </w:r>
      <w:r w:rsidR="008F5C5A" w:rsidRPr="0006795F">
        <w:t>and equal opportunity in employment</w:t>
      </w:r>
      <w:r w:rsidR="00825595" w:rsidRPr="0006795F">
        <w:t xml:space="preserve">, </w:t>
      </w:r>
      <w:r w:rsidR="008F5C5A" w:rsidRPr="0006795F">
        <w:t>service delivery</w:t>
      </w:r>
      <w:r w:rsidR="00825595" w:rsidRPr="0006795F">
        <w:t xml:space="preserve">, </w:t>
      </w:r>
      <w:r w:rsidR="005757D9" w:rsidRPr="0006795F">
        <w:t xml:space="preserve">and </w:t>
      </w:r>
      <w:r w:rsidR="00825595" w:rsidRPr="0006795F">
        <w:t>grant administration</w:t>
      </w:r>
      <w:r w:rsidR="008F5C5A" w:rsidRPr="0006795F">
        <w:t xml:space="preserve"> regardless of </w:t>
      </w:r>
      <w:r w:rsidR="00B13B81" w:rsidRPr="0006795F">
        <w:t xml:space="preserve">a person’s </w:t>
      </w:r>
      <w:r w:rsidR="008F5C5A" w:rsidRPr="0006795F">
        <w:t>race, color, religion, sex, age, national origin, political beliefs, or disability as defined in the Americans with Disabilities Act.</w:t>
      </w:r>
      <w:r w:rsidR="00BE010A" w:rsidRPr="0006795F">
        <w:t xml:space="preserve"> </w:t>
      </w:r>
    </w:p>
    <w:p w14:paraId="36D1AEA2" w14:textId="641D34CD" w:rsidR="002C2E4D" w:rsidRPr="0006795F" w:rsidRDefault="002C2E4D" w:rsidP="00740FDC">
      <w:pPr>
        <w:jc w:val="both"/>
      </w:pPr>
    </w:p>
    <w:p w14:paraId="36D1AEA3" w14:textId="6B87E47F" w:rsidR="008F5C5A" w:rsidRPr="0006795F" w:rsidRDefault="003E4F93" w:rsidP="00740FDC">
      <w:pPr>
        <w:ind w:left="1260" w:hanging="540"/>
        <w:jc w:val="both"/>
      </w:pPr>
      <w:r w:rsidRPr="0006795F">
        <w:t>(</w:t>
      </w:r>
      <w:r w:rsidR="00A124D6">
        <w:t>B</w:t>
      </w:r>
      <w:r w:rsidRPr="0006795F">
        <w:t>)</w:t>
      </w:r>
      <w:r w:rsidR="00EE7FDB" w:rsidRPr="0006795F">
        <w:tab/>
      </w:r>
      <w:r w:rsidR="00FA4272">
        <w:t>DHS</w:t>
      </w:r>
      <w:r w:rsidR="00825595" w:rsidRPr="0006795F">
        <w:t xml:space="preserve"> shall actively promote equal </w:t>
      </w:r>
      <w:r w:rsidR="008F5C5A" w:rsidRPr="0006795F">
        <w:t xml:space="preserve">opportunity </w:t>
      </w:r>
      <w:r w:rsidR="00825595" w:rsidRPr="0006795F">
        <w:t xml:space="preserve">through </w:t>
      </w:r>
      <w:r w:rsidR="008F5C5A" w:rsidRPr="0006795F">
        <w:t>the establishment and application of personnel policies and procedures to include:</w:t>
      </w:r>
      <w:r w:rsidR="002420AF">
        <w:t xml:space="preserve"> </w:t>
      </w:r>
      <w:r w:rsidR="008F5C5A" w:rsidRPr="0006795F">
        <w:t xml:space="preserve">recruitment, selection, promotion, demotion, transfer, reclassification, layoff and recall, training, termination and other benefits, </w:t>
      </w:r>
      <w:r w:rsidR="00B13B81" w:rsidRPr="0006795F">
        <w:t xml:space="preserve">and </w:t>
      </w:r>
      <w:r w:rsidR="008F5C5A" w:rsidRPr="0006795F">
        <w:t>terms and conditions of employment.</w:t>
      </w:r>
    </w:p>
    <w:p w14:paraId="36D1AEA4" w14:textId="01B27321" w:rsidR="002C2E4D" w:rsidRPr="00C825E5" w:rsidRDefault="002C2E4D" w:rsidP="00740FDC">
      <w:pPr>
        <w:jc w:val="both"/>
      </w:pPr>
    </w:p>
    <w:p w14:paraId="37847A5C" w14:textId="67BF1DF1" w:rsidR="00A124D6" w:rsidRPr="00C825E5" w:rsidRDefault="00EE7FDB" w:rsidP="00740FDC">
      <w:pPr>
        <w:pStyle w:val="PlainText"/>
        <w:tabs>
          <w:tab w:val="left" w:pos="1260"/>
        </w:tabs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25E5">
        <w:rPr>
          <w:rFonts w:ascii="Times New Roman" w:hAnsi="Times New Roman"/>
          <w:bCs/>
          <w:sz w:val="24"/>
          <w:szCs w:val="24"/>
        </w:rPr>
        <w:t>(</w:t>
      </w:r>
      <w:r w:rsidR="00A124D6" w:rsidRPr="00C825E5">
        <w:rPr>
          <w:rFonts w:ascii="Times New Roman" w:hAnsi="Times New Roman"/>
          <w:bCs/>
          <w:sz w:val="24"/>
          <w:szCs w:val="24"/>
        </w:rPr>
        <w:t>C</w:t>
      </w:r>
      <w:r w:rsidRPr="00C825E5">
        <w:rPr>
          <w:rFonts w:ascii="Times New Roman" w:hAnsi="Times New Roman"/>
          <w:bCs/>
          <w:sz w:val="24"/>
          <w:szCs w:val="24"/>
        </w:rPr>
        <w:t>)</w:t>
      </w:r>
      <w:r w:rsidRPr="00C825E5">
        <w:rPr>
          <w:rFonts w:ascii="Times New Roman" w:hAnsi="Times New Roman"/>
          <w:bCs/>
          <w:sz w:val="24"/>
          <w:szCs w:val="24"/>
        </w:rPr>
        <w:tab/>
      </w:r>
      <w:r w:rsidR="00FA4272" w:rsidRPr="00C825E5">
        <w:rPr>
          <w:rFonts w:ascii="Times New Roman" w:hAnsi="Times New Roman"/>
          <w:bCs/>
          <w:sz w:val="24"/>
          <w:szCs w:val="24"/>
        </w:rPr>
        <w:t>DHS</w:t>
      </w:r>
      <w:r w:rsidR="00825595" w:rsidRPr="00C825E5">
        <w:rPr>
          <w:rFonts w:ascii="Times New Roman" w:hAnsi="Times New Roman"/>
          <w:bCs/>
          <w:sz w:val="24"/>
          <w:szCs w:val="24"/>
        </w:rPr>
        <w:t xml:space="preserve"> shall </w:t>
      </w:r>
      <w:r w:rsidR="00B13B81" w:rsidRPr="00C825E5">
        <w:rPr>
          <w:rFonts w:ascii="Times New Roman" w:hAnsi="Times New Roman"/>
          <w:bCs/>
          <w:sz w:val="24"/>
          <w:szCs w:val="24"/>
        </w:rPr>
        <w:t>ensure</w:t>
      </w:r>
      <w:r w:rsidR="00825595" w:rsidRPr="00C825E5">
        <w:rPr>
          <w:rFonts w:ascii="Times New Roman" w:hAnsi="Times New Roman"/>
          <w:bCs/>
          <w:sz w:val="24"/>
          <w:szCs w:val="24"/>
        </w:rPr>
        <w:t xml:space="preserve"> </w:t>
      </w:r>
      <w:r w:rsidR="009D6066" w:rsidRPr="00C825E5">
        <w:rPr>
          <w:rFonts w:ascii="Times New Roman" w:hAnsi="Times New Roman"/>
          <w:bCs/>
          <w:sz w:val="24"/>
          <w:szCs w:val="24"/>
        </w:rPr>
        <w:t>n</w:t>
      </w:r>
      <w:r w:rsidR="00BD525A" w:rsidRPr="00C825E5">
        <w:rPr>
          <w:rFonts w:ascii="Times New Roman" w:hAnsi="Times New Roman"/>
          <w:bCs/>
          <w:sz w:val="24"/>
          <w:szCs w:val="24"/>
        </w:rPr>
        <w:t>o</w:t>
      </w:r>
      <w:r w:rsidR="00825595" w:rsidRPr="00C825E5">
        <w:rPr>
          <w:rFonts w:ascii="Times New Roman" w:hAnsi="Times New Roman"/>
          <w:bCs/>
          <w:sz w:val="24"/>
          <w:szCs w:val="24"/>
        </w:rPr>
        <w:t>n</w:t>
      </w:r>
      <w:r w:rsidR="008F5C5A" w:rsidRPr="00C825E5">
        <w:rPr>
          <w:rFonts w:ascii="Times New Roman" w:hAnsi="Times New Roman"/>
          <w:bCs/>
          <w:sz w:val="24"/>
          <w:szCs w:val="24"/>
        </w:rPr>
        <w:t>-discrimination and equal opportunity in compliance with all applicable federal laws, regulations, executive orders</w:t>
      </w:r>
      <w:r w:rsidR="00F226B6" w:rsidRPr="00C825E5">
        <w:rPr>
          <w:rFonts w:ascii="Times New Roman" w:hAnsi="Times New Roman"/>
          <w:bCs/>
          <w:sz w:val="24"/>
          <w:szCs w:val="24"/>
        </w:rPr>
        <w:t>,</w:t>
      </w:r>
      <w:r w:rsidR="008F5C5A" w:rsidRPr="00C825E5">
        <w:rPr>
          <w:rFonts w:ascii="Times New Roman" w:hAnsi="Times New Roman"/>
          <w:bCs/>
          <w:sz w:val="24"/>
          <w:szCs w:val="24"/>
        </w:rPr>
        <w:t xml:space="preserve"> and civi</w:t>
      </w:r>
      <w:r w:rsidR="00A124D6" w:rsidRPr="00C825E5">
        <w:rPr>
          <w:rFonts w:ascii="Times New Roman" w:hAnsi="Times New Roman"/>
          <w:bCs/>
          <w:sz w:val="24"/>
          <w:szCs w:val="24"/>
        </w:rPr>
        <w:t xml:space="preserve">l rights rules or regulations. </w:t>
      </w:r>
    </w:p>
    <w:p w14:paraId="36D1AEB3" w14:textId="7F4F0775" w:rsidR="00F14251" w:rsidRPr="00A124D6" w:rsidRDefault="00F14251" w:rsidP="00740FDC">
      <w:pPr>
        <w:pStyle w:val="PlainText"/>
        <w:tabs>
          <w:tab w:val="left" w:pos="540"/>
        </w:tabs>
        <w:jc w:val="both"/>
        <w:rPr>
          <w:rFonts w:ascii="Times New Roman" w:hAnsi="Times New Roman"/>
        </w:rPr>
      </w:pPr>
    </w:p>
    <w:p w14:paraId="36D1AEB4" w14:textId="6A52328F" w:rsidR="008F5C5A" w:rsidRDefault="00543885" w:rsidP="00740FDC">
      <w:pPr>
        <w:jc w:val="both"/>
      </w:pPr>
      <w:r w:rsidRPr="00547A46">
        <w:t>I</w:t>
      </w:r>
      <w:r w:rsidR="00A124D6">
        <w:t>II</w:t>
      </w:r>
      <w:r w:rsidR="00E73E70" w:rsidRPr="002E1640">
        <w:t>.</w:t>
      </w:r>
      <w:r w:rsidRPr="002E1640">
        <w:tab/>
      </w:r>
      <w:r w:rsidR="008F5C5A" w:rsidRPr="002E1640">
        <w:t>Responsibilities</w:t>
      </w:r>
      <w:r w:rsidR="00E842B0">
        <w:t xml:space="preserve"> </w:t>
      </w:r>
      <w:r w:rsidR="005855EE">
        <w:t>and</w:t>
      </w:r>
      <w:r w:rsidR="00E842B0">
        <w:t xml:space="preserve"> Procedures</w:t>
      </w:r>
      <w:r w:rsidR="008F5C5A" w:rsidRPr="002E1640">
        <w:t xml:space="preserve"> </w:t>
      </w:r>
    </w:p>
    <w:p w14:paraId="36D1AEB5" w14:textId="77777777" w:rsidR="00547A46" w:rsidRPr="002E1640" w:rsidRDefault="00547A46" w:rsidP="00740FDC">
      <w:pPr>
        <w:pStyle w:val="PlainText"/>
        <w:tabs>
          <w:tab w:val="left" w:pos="540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36D1AEB6" w14:textId="71B5C4D4" w:rsidR="00DB700A" w:rsidRDefault="00543885" w:rsidP="00740FDC">
      <w:pPr>
        <w:ind w:left="1260" w:hanging="540"/>
        <w:jc w:val="both"/>
      </w:pPr>
      <w:r w:rsidRPr="002E1640">
        <w:t>(</w:t>
      </w:r>
      <w:r w:rsidR="00A124D6">
        <w:t>A)</w:t>
      </w:r>
      <w:r w:rsidRPr="002E1640">
        <w:tab/>
      </w:r>
      <w:r w:rsidR="008F5C5A" w:rsidRPr="002E1640">
        <w:t>The overall responsibility for coordination of equal opportunity policies, programs</w:t>
      </w:r>
      <w:r w:rsidR="00BE7D41" w:rsidRPr="002E1640">
        <w:t>,</w:t>
      </w:r>
      <w:r w:rsidR="008F5C5A" w:rsidRPr="002E1640">
        <w:t xml:space="preserve"> and employment practices within </w:t>
      </w:r>
      <w:r w:rsidR="00FA4272">
        <w:t>DHS</w:t>
      </w:r>
      <w:r w:rsidR="008F5C5A" w:rsidRPr="002E1640">
        <w:t xml:space="preserve"> has been assigned to the </w:t>
      </w:r>
      <w:r w:rsidR="00FA4272">
        <w:t>Administrator of DHS</w:t>
      </w:r>
      <w:r w:rsidR="009D24BC" w:rsidRPr="002E1640">
        <w:t xml:space="preserve"> </w:t>
      </w:r>
      <w:r w:rsidR="00396CD4" w:rsidRPr="002E1640">
        <w:t>Office of Employee Relations</w:t>
      </w:r>
      <w:r w:rsidR="00BE7D41" w:rsidRPr="002E1640">
        <w:t xml:space="preserve"> and </w:t>
      </w:r>
      <w:r w:rsidR="00396CD4" w:rsidRPr="002E1640">
        <w:t>Office of Equal Opportunity</w:t>
      </w:r>
      <w:r w:rsidR="00CA3839">
        <w:t xml:space="preserve"> (OER/OEO)</w:t>
      </w:r>
      <w:r w:rsidR="00BE7D41" w:rsidRPr="002E1640">
        <w:t>.</w:t>
      </w:r>
    </w:p>
    <w:p w14:paraId="36D1AEB7" w14:textId="77777777" w:rsidR="002E1640" w:rsidRPr="002E1640" w:rsidRDefault="002E1640" w:rsidP="00740FDC">
      <w:pPr>
        <w:pStyle w:val="PlainText"/>
        <w:tabs>
          <w:tab w:val="left" w:pos="540"/>
          <w:tab w:val="left" w:pos="810"/>
          <w:tab w:val="left" w:pos="1080"/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</w:p>
    <w:p w14:paraId="36D1AEB8" w14:textId="6B89A8B0" w:rsidR="00DB700A" w:rsidRDefault="00543885" w:rsidP="00740FDC">
      <w:pPr>
        <w:ind w:left="1260" w:hanging="540"/>
        <w:jc w:val="both"/>
      </w:pPr>
      <w:r w:rsidRPr="002E1640">
        <w:t>(</w:t>
      </w:r>
      <w:r w:rsidR="00A124D6">
        <w:t>B)</w:t>
      </w:r>
      <w:r w:rsidRPr="002E1640">
        <w:tab/>
      </w:r>
      <w:r w:rsidR="00DB700A" w:rsidRPr="002E1640">
        <w:t xml:space="preserve">Any </w:t>
      </w:r>
      <w:r w:rsidR="00FA4272">
        <w:t>DHS</w:t>
      </w:r>
      <w:r w:rsidR="00DB700A" w:rsidRPr="002E1640">
        <w:t xml:space="preserve"> staff member who receives a written complaint of discrimination from any person shall forward the complaint immediately to his or her division director for referral to </w:t>
      </w:r>
      <w:r w:rsidR="00CA3839">
        <w:t>OER/OEO</w:t>
      </w:r>
      <w:r w:rsidR="009D24BC" w:rsidRPr="002E1640">
        <w:t>.</w:t>
      </w:r>
    </w:p>
    <w:p w14:paraId="36D1AEB9" w14:textId="77777777" w:rsidR="002E1640" w:rsidRPr="002E1640" w:rsidRDefault="002E1640" w:rsidP="00740FDC">
      <w:pPr>
        <w:pStyle w:val="PlainText"/>
        <w:tabs>
          <w:tab w:val="left" w:pos="540"/>
          <w:tab w:val="left" w:pos="810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14:paraId="36D1AEBA" w14:textId="0F55A766" w:rsidR="0079053B" w:rsidRDefault="00543885" w:rsidP="00740FDC">
      <w:pPr>
        <w:ind w:left="1260" w:hanging="540"/>
        <w:jc w:val="both"/>
      </w:pPr>
      <w:r w:rsidRPr="002E1640">
        <w:t>(</w:t>
      </w:r>
      <w:r w:rsidR="00A124D6">
        <w:t>C)</w:t>
      </w:r>
      <w:r w:rsidRPr="002E1640">
        <w:tab/>
      </w:r>
      <w:r w:rsidR="00DB700A" w:rsidRPr="002E1640">
        <w:t xml:space="preserve">Any </w:t>
      </w:r>
      <w:r w:rsidR="00FA4272">
        <w:t>DHS</w:t>
      </w:r>
      <w:r w:rsidR="00DB700A" w:rsidRPr="002E1640">
        <w:t xml:space="preserve"> supervisor or manager who receives a verbal complaint of discrimination from any person shall encourage that perso</w:t>
      </w:r>
      <w:r w:rsidR="00852D4F" w:rsidRPr="002E1640">
        <w:t>n to submit a written complaint. Regardless of whether the complaint is made in writing, the supervisor or manager receiving the complaint shall</w:t>
      </w:r>
      <w:r w:rsidR="00DB700A" w:rsidRPr="002E1640">
        <w:t xml:space="preserve"> provide </w:t>
      </w:r>
      <w:r w:rsidR="00852D4F" w:rsidRPr="002E1640">
        <w:t xml:space="preserve">the person making the complaint </w:t>
      </w:r>
      <w:r w:rsidR="00DB700A" w:rsidRPr="002E1640">
        <w:t xml:space="preserve">a copy of form DHS-2808, and immediately notify his or her division director in writing for follow-up or referral to </w:t>
      </w:r>
      <w:r w:rsidR="00CA3839">
        <w:t>OER/OEO</w:t>
      </w:r>
      <w:r w:rsidR="0079053B" w:rsidRPr="002E1640">
        <w:t xml:space="preserve"> as appropriate.</w:t>
      </w:r>
    </w:p>
    <w:p w14:paraId="36D1AEBB" w14:textId="77777777" w:rsidR="002E1640" w:rsidRPr="002E1640" w:rsidRDefault="002E1640" w:rsidP="00740FDC">
      <w:pPr>
        <w:pStyle w:val="PlainText"/>
        <w:tabs>
          <w:tab w:val="left" w:pos="540"/>
          <w:tab w:val="left" w:pos="1080"/>
          <w:tab w:val="left" w:pos="1170"/>
        </w:tabs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36D1AEBC" w14:textId="06522127" w:rsidR="00980034" w:rsidRPr="002E1640" w:rsidRDefault="00A124D6" w:rsidP="00740FDC">
      <w:pPr>
        <w:jc w:val="both"/>
      </w:pPr>
      <w:r>
        <w:t>I</w:t>
      </w:r>
      <w:r w:rsidR="00543885" w:rsidRPr="002E1640">
        <w:t>V</w:t>
      </w:r>
      <w:r w:rsidR="00F6760E" w:rsidRPr="002E1640">
        <w:t>.</w:t>
      </w:r>
      <w:r w:rsidR="00543885" w:rsidRPr="002E1640">
        <w:tab/>
      </w:r>
      <w:r w:rsidR="00F14251" w:rsidRPr="002E1640">
        <w:t>Complaints of Discrimination</w:t>
      </w:r>
    </w:p>
    <w:p w14:paraId="36D1AEBD" w14:textId="77777777" w:rsidR="002E1640" w:rsidRDefault="002E1640" w:rsidP="00740FDC">
      <w:pPr>
        <w:pStyle w:val="PlainText"/>
        <w:tabs>
          <w:tab w:val="left" w:pos="540"/>
          <w:tab w:val="left" w:pos="72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14:paraId="36D1AEBE" w14:textId="6403B4A4" w:rsidR="00EC1BA4" w:rsidRDefault="00543885" w:rsidP="00740FDC">
      <w:pPr>
        <w:ind w:left="1260" w:hanging="540"/>
        <w:jc w:val="both"/>
      </w:pPr>
      <w:r w:rsidRPr="002E1640">
        <w:t>(</w:t>
      </w:r>
      <w:r w:rsidR="00A124D6">
        <w:t>A)</w:t>
      </w:r>
      <w:r w:rsidR="00547A46">
        <w:tab/>
      </w:r>
      <w:r w:rsidR="00980034" w:rsidRPr="002E1640">
        <w:t xml:space="preserve">Any person </w:t>
      </w:r>
      <w:r w:rsidR="00AB5ED0" w:rsidRPr="002E1640">
        <w:t xml:space="preserve">to whom </w:t>
      </w:r>
      <w:r w:rsidR="00980034" w:rsidRPr="002E1640">
        <w:t xml:space="preserve">or entity to </w:t>
      </w:r>
      <w:r w:rsidR="00AB5ED0" w:rsidRPr="002E1640">
        <w:t>which</w:t>
      </w:r>
      <w:r w:rsidR="00980034" w:rsidRPr="002E1640">
        <w:t xml:space="preserve"> this policy applies may use form DHS-2808, </w:t>
      </w:r>
      <w:r w:rsidR="00B13B81" w:rsidRPr="002E1640">
        <w:t>Complaint of Discrimination</w:t>
      </w:r>
      <w:r w:rsidR="00980034" w:rsidRPr="002E1640">
        <w:t>, to file a complaint</w:t>
      </w:r>
      <w:r w:rsidR="005757D9" w:rsidRPr="002E1640">
        <w:t>, regardless of whether the complaint directly concerns</w:t>
      </w:r>
      <w:r w:rsidR="00AB5ED0" w:rsidRPr="002E1640">
        <w:t xml:space="preserve"> </w:t>
      </w:r>
      <w:r w:rsidR="00FA4272">
        <w:t>DHS</w:t>
      </w:r>
      <w:r w:rsidR="005757D9" w:rsidRPr="002E1640">
        <w:t xml:space="preserve"> or its employees</w:t>
      </w:r>
      <w:r w:rsidR="00980034" w:rsidRPr="002E1640">
        <w:t>.</w:t>
      </w:r>
      <w:r w:rsidR="00697476" w:rsidRPr="002E1640">
        <w:t xml:space="preserve"> </w:t>
      </w:r>
      <w:r w:rsidR="00980034" w:rsidRPr="002E1640">
        <w:t>Complaints filed</w:t>
      </w:r>
      <w:r w:rsidR="00F6760E" w:rsidRPr="002E1640">
        <w:t xml:space="preserve"> </w:t>
      </w:r>
      <w:r w:rsidR="00980034" w:rsidRPr="002E1640">
        <w:t>using othe</w:t>
      </w:r>
      <w:r w:rsidR="006B472A" w:rsidRPr="002E1640">
        <w:t>r</w:t>
      </w:r>
      <w:r w:rsidR="00AB5ED0" w:rsidRPr="002E1640">
        <w:t xml:space="preserve"> </w:t>
      </w:r>
      <w:r w:rsidR="006B472A" w:rsidRPr="002E1640">
        <w:t>means, such as by letter or e</w:t>
      </w:r>
      <w:r w:rsidR="00980034" w:rsidRPr="002E1640">
        <w:t xml:space="preserve">mail, should contain substantially the same information as </w:t>
      </w:r>
      <w:r w:rsidR="00B13B81" w:rsidRPr="002E1640">
        <w:t>that</w:t>
      </w:r>
      <w:r w:rsidR="00AB5ED0" w:rsidRPr="002E1640">
        <w:t xml:space="preserve"> </w:t>
      </w:r>
      <w:r w:rsidR="00980034" w:rsidRPr="002E1640">
        <w:t>requested on DHS-2808.</w:t>
      </w:r>
    </w:p>
    <w:p w14:paraId="36D1AEBF" w14:textId="77777777" w:rsidR="002E1640" w:rsidRPr="002E1640" w:rsidRDefault="002E1640" w:rsidP="00740FDC">
      <w:pPr>
        <w:pStyle w:val="PlainText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36D1AEC0" w14:textId="2E6471AB" w:rsidR="00EC1BA4" w:rsidRPr="002E1640" w:rsidRDefault="00697476" w:rsidP="00740FDC">
      <w:pPr>
        <w:ind w:left="1260" w:hanging="540"/>
        <w:jc w:val="both"/>
      </w:pPr>
      <w:r w:rsidRPr="002E1640">
        <w:lastRenderedPageBreak/>
        <w:t>(</w:t>
      </w:r>
      <w:r w:rsidR="00A124D6">
        <w:t>B)</w:t>
      </w:r>
      <w:r w:rsidR="002C2E4D">
        <w:tab/>
      </w:r>
      <w:r w:rsidR="00CA3839">
        <w:t>OER/OEO</w:t>
      </w:r>
      <w:r w:rsidR="00396CD4" w:rsidRPr="002E1640">
        <w:t xml:space="preserve"> shall receive complaints relati</w:t>
      </w:r>
      <w:r w:rsidR="00403D4B" w:rsidRPr="002E1640">
        <w:t xml:space="preserve">ng to any </w:t>
      </w:r>
      <w:r w:rsidR="00FA4272">
        <w:t>DHS</w:t>
      </w:r>
      <w:r w:rsidR="00403D4B" w:rsidRPr="002E1640">
        <w:t xml:space="preserve"> </w:t>
      </w:r>
      <w:r w:rsidR="00C825E5">
        <w:t>D</w:t>
      </w:r>
      <w:r w:rsidR="00403D4B" w:rsidRPr="002E1640">
        <w:t xml:space="preserve">ivision or </w:t>
      </w:r>
      <w:r w:rsidR="00C825E5">
        <w:t>O</w:t>
      </w:r>
      <w:r w:rsidR="00403D4B" w:rsidRPr="002E1640">
        <w:t>ffice, program, project, service, contract, or grant, regardless of whether the person making the</w:t>
      </w:r>
      <w:r w:rsidR="00F6760E" w:rsidRPr="002E1640">
        <w:t xml:space="preserve"> </w:t>
      </w:r>
      <w:r w:rsidR="00403D4B" w:rsidRPr="002E1640">
        <w:t xml:space="preserve">complaint or the person against whom the complaint is made is an employee </w:t>
      </w:r>
      <w:r w:rsidR="006B472A" w:rsidRPr="002E1640">
        <w:t xml:space="preserve">of </w:t>
      </w:r>
      <w:r w:rsidR="00FA4272">
        <w:t>DHS</w:t>
      </w:r>
      <w:r w:rsidR="00403D4B" w:rsidRPr="002E1640">
        <w:t>.</w:t>
      </w:r>
    </w:p>
    <w:p w14:paraId="36D1AEC1" w14:textId="77777777" w:rsidR="002E1640" w:rsidRDefault="002E1640" w:rsidP="00740FDC">
      <w:pPr>
        <w:pStyle w:val="PlainText"/>
        <w:tabs>
          <w:tab w:val="left" w:pos="27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36D1AEC2" w14:textId="2A4B48BC" w:rsidR="00EC1BA4" w:rsidRPr="002E1640" w:rsidRDefault="00697476" w:rsidP="00740FDC">
      <w:pPr>
        <w:ind w:left="1260" w:hanging="540"/>
        <w:jc w:val="both"/>
      </w:pPr>
      <w:r w:rsidRPr="002E1640">
        <w:t>(</w:t>
      </w:r>
      <w:r w:rsidR="00A124D6">
        <w:t>C)</w:t>
      </w:r>
      <w:r w:rsidR="002C2E4D">
        <w:tab/>
      </w:r>
      <w:r w:rsidR="00CA3839">
        <w:t>OER/OEO</w:t>
      </w:r>
      <w:r w:rsidR="004B34E7" w:rsidRPr="002E1640">
        <w:t xml:space="preserve"> shall establish written criteria for determining when a complaint shall be referred to an outside agency or office, such as the U.S. Equal Employment Opportunity Commission, the U.S. Department of Health </w:t>
      </w:r>
      <w:r w:rsidR="00BA4AE8" w:rsidRPr="002E1640">
        <w:t>and</w:t>
      </w:r>
      <w:r w:rsidR="004B34E7" w:rsidRPr="002E1640">
        <w:t xml:space="preserve"> Human Services Office of Civil Rights, the U.S. Department of Justice Office </w:t>
      </w:r>
      <w:r w:rsidR="006B472A" w:rsidRPr="002E1640">
        <w:t>for</w:t>
      </w:r>
      <w:r w:rsidR="004B34E7" w:rsidRPr="002E1640">
        <w:t xml:space="preserve"> Civil Rights, the U.S. Department of Labor, or other state or federal investigative or enforcement agencies.</w:t>
      </w:r>
    </w:p>
    <w:p w14:paraId="36D1AEC3" w14:textId="77777777" w:rsidR="002E1640" w:rsidRDefault="002E1640" w:rsidP="00740FDC">
      <w:pPr>
        <w:pStyle w:val="PlainText"/>
        <w:tabs>
          <w:tab w:val="left" w:pos="270"/>
          <w:tab w:val="left" w:pos="720"/>
          <w:tab w:val="left" w:pos="81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14:paraId="36D1AEC4" w14:textId="1F2E4FBD" w:rsidR="006B472A" w:rsidRPr="002E1640" w:rsidRDefault="00547A46" w:rsidP="00740FDC">
      <w:pPr>
        <w:ind w:left="1260" w:hanging="540"/>
        <w:jc w:val="both"/>
      </w:pPr>
      <w:r>
        <w:t>(</w:t>
      </w:r>
      <w:r w:rsidR="00A124D6">
        <w:t>D)</w:t>
      </w:r>
      <w:r w:rsidR="002C2E4D">
        <w:tab/>
      </w:r>
      <w:r w:rsidR="004B34E7" w:rsidRPr="002E1640">
        <w:t>Complai</w:t>
      </w:r>
      <w:r w:rsidR="006B472A" w:rsidRPr="002E1640">
        <w:t xml:space="preserve">nts which allege discriminatory, </w:t>
      </w:r>
      <w:r w:rsidR="004B34E7" w:rsidRPr="002E1640">
        <w:t>harassing</w:t>
      </w:r>
      <w:r w:rsidR="006B472A" w:rsidRPr="002E1640">
        <w:t>, or retaliatory</w:t>
      </w:r>
      <w:r w:rsidR="004B34E7" w:rsidRPr="002E1640">
        <w:t xml:space="preserve"> conduct by any </w:t>
      </w:r>
      <w:r w:rsidR="00FA4272">
        <w:t>DHS</w:t>
      </w:r>
      <w:r w:rsidR="003B79A5" w:rsidRPr="002E1640">
        <w:t xml:space="preserve"> </w:t>
      </w:r>
      <w:r w:rsidR="004B34E7" w:rsidRPr="002E1640">
        <w:t xml:space="preserve">employee shall be investigated by </w:t>
      </w:r>
      <w:r w:rsidR="00CA3839">
        <w:t>OER/OEO</w:t>
      </w:r>
      <w:r w:rsidR="004B34E7" w:rsidRPr="002E1640">
        <w:t xml:space="preserve"> or the </w:t>
      </w:r>
      <w:r w:rsidR="00FA4272">
        <w:t>DHS</w:t>
      </w:r>
      <w:r w:rsidR="00ED30D8">
        <w:t xml:space="preserve"> Office of Security and Compliance (OSC)</w:t>
      </w:r>
      <w:r w:rsidR="004B34E7" w:rsidRPr="002E1640">
        <w:t xml:space="preserve">, as determined by the </w:t>
      </w:r>
      <w:r w:rsidR="00CA3839">
        <w:t>OER/OEO</w:t>
      </w:r>
      <w:r w:rsidR="004B34E7" w:rsidRPr="002E1640">
        <w:t xml:space="preserve"> Administrator.</w:t>
      </w:r>
      <w:r w:rsidR="006B472A" w:rsidRPr="002E1640">
        <w:t xml:space="preserve"> The </w:t>
      </w:r>
      <w:r w:rsidR="00CA3839">
        <w:t>OER/OEO</w:t>
      </w:r>
      <w:r w:rsidR="00102B08" w:rsidRPr="002E1640">
        <w:t xml:space="preserve"> </w:t>
      </w:r>
      <w:r w:rsidR="006B472A" w:rsidRPr="002E1640">
        <w:t xml:space="preserve">and </w:t>
      </w:r>
      <w:r w:rsidR="00ED30D8">
        <w:t>OSC</w:t>
      </w:r>
      <w:r w:rsidR="006B472A" w:rsidRPr="002E1640">
        <w:t xml:space="preserve"> will conduct prompt investigations </w:t>
      </w:r>
      <w:r w:rsidR="002C2E4D">
        <w:t>of complaints and issue written</w:t>
      </w:r>
      <w:r>
        <w:t xml:space="preserve"> </w:t>
      </w:r>
      <w:r w:rsidR="002C2E4D">
        <w:t>d</w:t>
      </w:r>
      <w:r w:rsidR="002C2E4D" w:rsidRPr="002E1640">
        <w:t>eterminations</w:t>
      </w:r>
      <w:r w:rsidR="006B472A" w:rsidRPr="002E1640">
        <w:t xml:space="preserve"> of any findings. </w:t>
      </w:r>
    </w:p>
    <w:p w14:paraId="36D1AEC5" w14:textId="77777777" w:rsidR="002E1640" w:rsidRDefault="002E1640" w:rsidP="00740FDC">
      <w:pPr>
        <w:pStyle w:val="PlainText"/>
        <w:tabs>
          <w:tab w:val="left" w:pos="27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36D1AEC6" w14:textId="3185AC19" w:rsidR="00102B08" w:rsidRDefault="00102B08" w:rsidP="00740FDC">
      <w:pPr>
        <w:ind w:left="1260" w:hanging="540"/>
        <w:jc w:val="both"/>
      </w:pPr>
      <w:r w:rsidRPr="002E1640">
        <w:t>(</w:t>
      </w:r>
      <w:r w:rsidR="00A124D6">
        <w:t>E)</w:t>
      </w:r>
      <w:r w:rsidR="00547A46">
        <w:tab/>
      </w:r>
      <w:r w:rsidR="006B472A" w:rsidRPr="002E1640">
        <w:t xml:space="preserve">When </w:t>
      </w:r>
      <w:r w:rsidR="00FA4272">
        <w:t>DHS</w:t>
      </w:r>
      <w:r w:rsidR="006B472A" w:rsidRPr="002E1640">
        <w:t xml:space="preserve"> investigates a complaint that involves a federal civil rights law over which </w:t>
      </w:r>
      <w:r w:rsidR="009D24BC" w:rsidRPr="002E1640">
        <w:t>the U.S. Department of Justice Office for Civil Rights</w:t>
      </w:r>
      <w:r w:rsidRPr="002E1640">
        <w:t xml:space="preserve"> </w:t>
      </w:r>
      <w:r w:rsidR="006B472A" w:rsidRPr="002E1640">
        <w:t xml:space="preserve">has jurisdiction, </w:t>
      </w:r>
      <w:r w:rsidR="009D24BC" w:rsidRPr="002E1640">
        <w:t>the U.S. Department of Justice Office for Civil Rights</w:t>
      </w:r>
      <w:r w:rsidRPr="002E1640">
        <w:t xml:space="preserve"> retains the </w:t>
      </w:r>
      <w:r w:rsidR="006B472A" w:rsidRPr="002E1640">
        <w:t>authority</w:t>
      </w:r>
      <w:r w:rsidRPr="002E1640">
        <w:t xml:space="preserve"> to:</w:t>
      </w:r>
    </w:p>
    <w:p w14:paraId="36D1AEC7" w14:textId="77777777" w:rsidR="002E1640" w:rsidRPr="002E1640" w:rsidRDefault="002E1640" w:rsidP="00740FDC">
      <w:pPr>
        <w:pStyle w:val="PlainText"/>
        <w:tabs>
          <w:tab w:val="left" w:pos="27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36D1AEC8" w14:textId="2E702225" w:rsidR="00102B08" w:rsidRDefault="00631EAF" w:rsidP="00740FDC">
      <w:pPr>
        <w:pStyle w:val="PlainText"/>
        <w:numPr>
          <w:ilvl w:val="0"/>
          <w:numId w:val="5"/>
        </w:numPr>
        <w:tabs>
          <w:tab w:val="left" w:pos="-630"/>
          <w:tab w:val="left" w:pos="-450"/>
        </w:tabs>
        <w:ind w:left="1710" w:hanging="450"/>
        <w:jc w:val="both"/>
        <w:rPr>
          <w:rFonts w:ascii="Times New Roman" w:hAnsi="Times New Roman"/>
          <w:sz w:val="24"/>
          <w:szCs w:val="24"/>
        </w:rPr>
      </w:pPr>
      <w:r w:rsidRPr="002E1640">
        <w:rPr>
          <w:rFonts w:ascii="Times New Roman" w:hAnsi="Times New Roman"/>
          <w:sz w:val="24"/>
          <w:szCs w:val="24"/>
        </w:rPr>
        <w:t>Conduct</w:t>
      </w:r>
      <w:r w:rsidR="006B472A" w:rsidRPr="002E1640">
        <w:rPr>
          <w:rFonts w:ascii="Times New Roman" w:hAnsi="Times New Roman"/>
          <w:sz w:val="24"/>
          <w:szCs w:val="24"/>
        </w:rPr>
        <w:t xml:space="preserve"> a supplementary or de novo investigation;</w:t>
      </w:r>
    </w:p>
    <w:p w14:paraId="5B22AFD1" w14:textId="77777777" w:rsidR="008B46EE" w:rsidRDefault="008B46EE" w:rsidP="00740FDC">
      <w:pPr>
        <w:pStyle w:val="PlainText"/>
        <w:tabs>
          <w:tab w:val="left" w:pos="-630"/>
          <w:tab w:val="left" w:pos="-450"/>
        </w:tabs>
        <w:jc w:val="both"/>
        <w:rPr>
          <w:rFonts w:ascii="Times New Roman" w:hAnsi="Times New Roman"/>
          <w:sz w:val="24"/>
          <w:szCs w:val="24"/>
        </w:rPr>
      </w:pPr>
    </w:p>
    <w:p w14:paraId="36D1AECA" w14:textId="756DAA40" w:rsidR="00102B08" w:rsidRDefault="00631EAF" w:rsidP="00740FDC">
      <w:pPr>
        <w:pStyle w:val="PlainText"/>
        <w:numPr>
          <w:ilvl w:val="0"/>
          <w:numId w:val="5"/>
        </w:numPr>
        <w:tabs>
          <w:tab w:val="left" w:pos="-630"/>
          <w:tab w:val="left" w:pos="-450"/>
        </w:tabs>
        <w:ind w:left="1710" w:hanging="450"/>
        <w:jc w:val="both"/>
        <w:rPr>
          <w:rFonts w:ascii="Times New Roman" w:hAnsi="Times New Roman"/>
          <w:sz w:val="24"/>
          <w:szCs w:val="24"/>
        </w:rPr>
      </w:pPr>
      <w:r w:rsidRPr="002E1640">
        <w:rPr>
          <w:rFonts w:ascii="Times New Roman" w:hAnsi="Times New Roman"/>
          <w:sz w:val="24"/>
          <w:szCs w:val="24"/>
        </w:rPr>
        <w:t>Approve</w:t>
      </w:r>
      <w:r w:rsidR="006B472A" w:rsidRPr="002E1640">
        <w:rPr>
          <w:rFonts w:ascii="Times New Roman" w:hAnsi="Times New Roman"/>
          <w:sz w:val="24"/>
          <w:szCs w:val="24"/>
        </w:rPr>
        <w:t>, modify, or reject recommended findings;</w:t>
      </w:r>
    </w:p>
    <w:p w14:paraId="36D1AECB" w14:textId="77777777" w:rsidR="00547A46" w:rsidRPr="002E1640" w:rsidRDefault="00547A46" w:rsidP="00740FDC">
      <w:pPr>
        <w:pStyle w:val="PlainText"/>
        <w:tabs>
          <w:tab w:val="left" w:pos="-630"/>
          <w:tab w:val="left" w:pos="-450"/>
        </w:tabs>
        <w:jc w:val="both"/>
        <w:rPr>
          <w:rFonts w:ascii="Times New Roman" w:hAnsi="Times New Roman"/>
          <w:sz w:val="24"/>
          <w:szCs w:val="24"/>
        </w:rPr>
      </w:pPr>
    </w:p>
    <w:p w14:paraId="36D1AECC" w14:textId="6D0A4552" w:rsidR="00102B08" w:rsidRDefault="00631EAF" w:rsidP="00740FDC">
      <w:pPr>
        <w:pStyle w:val="PlainText"/>
        <w:numPr>
          <w:ilvl w:val="0"/>
          <w:numId w:val="5"/>
        </w:numPr>
        <w:tabs>
          <w:tab w:val="left" w:pos="-630"/>
          <w:tab w:val="left" w:pos="-450"/>
        </w:tabs>
        <w:ind w:left="17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B472A" w:rsidRPr="002E1640">
        <w:rPr>
          <w:rFonts w:ascii="Times New Roman" w:hAnsi="Times New Roman"/>
          <w:sz w:val="24"/>
          <w:szCs w:val="24"/>
        </w:rPr>
        <w:t>pprove, modify, or reject any proposed voluntary resolution</w:t>
      </w:r>
      <w:r w:rsidR="00F226B6" w:rsidRPr="002E1640">
        <w:rPr>
          <w:rFonts w:ascii="Times New Roman" w:hAnsi="Times New Roman"/>
          <w:sz w:val="24"/>
          <w:szCs w:val="24"/>
        </w:rPr>
        <w:t>;</w:t>
      </w:r>
      <w:r w:rsidR="006B472A" w:rsidRPr="002E1640">
        <w:rPr>
          <w:rFonts w:ascii="Times New Roman" w:hAnsi="Times New Roman"/>
          <w:sz w:val="24"/>
          <w:szCs w:val="24"/>
        </w:rPr>
        <w:t xml:space="preserve"> and </w:t>
      </w:r>
    </w:p>
    <w:p w14:paraId="36D1AECD" w14:textId="77777777" w:rsidR="00547A46" w:rsidRPr="002E1640" w:rsidRDefault="00547A46" w:rsidP="00740FDC">
      <w:pPr>
        <w:pStyle w:val="PlainText"/>
        <w:tabs>
          <w:tab w:val="left" w:pos="-630"/>
          <w:tab w:val="left" w:pos="-450"/>
        </w:tabs>
        <w:jc w:val="both"/>
        <w:rPr>
          <w:rFonts w:ascii="Times New Roman" w:hAnsi="Times New Roman"/>
          <w:sz w:val="24"/>
          <w:szCs w:val="24"/>
        </w:rPr>
      </w:pPr>
    </w:p>
    <w:p w14:paraId="36D1AECE" w14:textId="5AB8AA7B" w:rsidR="00EC1BA4" w:rsidRDefault="00631EAF" w:rsidP="00740FDC">
      <w:pPr>
        <w:pStyle w:val="PlainText"/>
        <w:numPr>
          <w:ilvl w:val="0"/>
          <w:numId w:val="5"/>
        </w:numPr>
        <w:tabs>
          <w:tab w:val="left" w:pos="-630"/>
          <w:tab w:val="left" w:pos="-450"/>
        </w:tabs>
        <w:ind w:left="171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B472A" w:rsidRPr="002E1640">
        <w:rPr>
          <w:rFonts w:ascii="Times New Roman" w:hAnsi="Times New Roman"/>
          <w:sz w:val="24"/>
          <w:szCs w:val="24"/>
        </w:rPr>
        <w:t>nitiate formal enforcement action.</w:t>
      </w:r>
    </w:p>
    <w:p w14:paraId="36D1AECF" w14:textId="77777777" w:rsidR="00631EAF" w:rsidRPr="002E1640" w:rsidRDefault="00631EAF" w:rsidP="00740FDC">
      <w:pPr>
        <w:pStyle w:val="PlainText"/>
        <w:tabs>
          <w:tab w:val="left" w:pos="540"/>
          <w:tab w:val="left" w:pos="1080"/>
          <w:tab w:val="left" w:pos="1170"/>
        </w:tabs>
        <w:ind w:left="1166" w:hanging="1080"/>
        <w:jc w:val="both"/>
        <w:rPr>
          <w:rFonts w:ascii="Times New Roman" w:hAnsi="Times New Roman"/>
          <w:sz w:val="24"/>
          <w:szCs w:val="24"/>
        </w:rPr>
      </w:pPr>
    </w:p>
    <w:p w14:paraId="36D1AED0" w14:textId="760CAED8" w:rsidR="00EC1BA4" w:rsidRDefault="00102B08" w:rsidP="00740FDC">
      <w:pPr>
        <w:ind w:left="1260" w:hanging="540"/>
        <w:jc w:val="both"/>
      </w:pPr>
      <w:r w:rsidRPr="002E1640">
        <w:t>(</w:t>
      </w:r>
      <w:r w:rsidR="00A124D6">
        <w:t>F)</w:t>
      </w:r>
      <w:r w:rsidR="00547A46">
        <w:tab/>
      </w:r>
      <w:r w:rsidR="004B34E7" w:rsidRPr="002E1640">
        <w:t xml:space="preserve">Complaints which </w:t>
      </w:r>
      <w:r w:rsidR="00EC1BA4" w:rsidRPr="002E1640">
        <w:t xml:space="preserve">are not referred for investigation by </w:t>
      </w:r>
      <w:r w:rsidR="00FA4272">
        <w:t>DHS</w:t>
      </w:r>
      <w:r w:rsidR="00EC1BA4" w:rsidRPr="002E1640">
        <w:t xml:space="preserve">, including complaints which </w:t>
      </w:r>
      <w:r w:rsidR="004B34E7" w:rsidRPr="002E1640">
        <w:t>allege discrim</w:t>
      </w:r>
      <w:r w:rsidR="006B472A" w:rsidRPr="002E1640">
        <w:t xml:space="preserve">inatory, </w:t>
      </w:r>
      <w:r w:rsidR="004B34E7" w:rsidRPr="002E1640">
        <w:t>harassing</w:t>
      </w:r>
      <w:r w:rsidR="006B472A" w:rsidRPr="002E1640">
        <w:t>, or retaliatory</w:t>
      </w:r>
      <w:r w:rsidR="004B34E7" w:rsidRPr="002E1640">
        <w:t xml:space="preserve"> conduct by </w:t>
      </w:r>
      <w:r w:rsidR="00EC1BA4" w:rsidRPr="002E1640">
        <w:t xml:space="preserve">persons who are not </w:t>
      </w:r>
      <w:r w:rsidR="00FA4272">
        <w:t>DHS</w:t>
      </w:r>
      <w:r w:rsidR="00EC1BA4" w:rsidRPr="002E1640">
        <w:t xml:space="preserve"> employees,</w:t>
      </w:r>
      <w:r w:rsidR="004B34E7" w:rsidRPr="002E1640">
        <w:t xml:space="preserve"> </w:t>
      </w:r>
      <w:r w:rsidR="00EC1BA4" w:rsidRPr="002E1640">
        <w:t>shall</w:t>
      </w:r>
      <w:r w:rsidR="004B34E7" w:rsidRPr="002E1640">
        <w:t xml:space="preserve"> be referred to other appropriate state or federal investigative or enforcement agencies, consistent with the written criteria established </w:t>
      </w:r>
      <w:r w:rsidR="00ED30D8">
        <w:t>in this policy</w:t>
      </w:r>
      <w:r w:rsidR="004B34E7" w:rsidRPr="002E1640">
        <w:t>.</w:t>
      </w:r>
    </w:p>
    <w:p w14:paraId="36D1AED1" w14:textId="77777777" w:rsidR="002E1640" w:rsidRPr="002E1640" w:rsidRDefault="002E1640" w:rsidP="00740FDC">
      <w:pPr>
        <w:pStyle w:val="PlainText"/>
        <w:tabs>
          <w:tab w:val="left" w:pos="270"/>
          <w:tab w:val="left" w:pos="540"/>
          <w:tab w:val="left" w:pos="720"/>
        </w:tabs>
        <w:ind w:left="540"/>
        <w:jc w:val="both"/>
        <w:rPr>
          <w:rFonts w:ascii="Times New Roman" w:hAnsi="Times New Roman"/>
          <w:sz w:val="24"/>
          <w:szCs w:val="24"/>
        </w:rPr>
      </w:pPr>
    </w:p>
    <w:p w14:paraId="36D1AED2" w14:textId="4AC5757F" w:rsidR="00E96570" w:rsidRDefault="00543885" w:rsidP="00740FDC">
      <w:pPr>
        <w:jc w:val="both"/>
      </w:pPr>
      <w:r w:rsidRPr="002E1640">
        <w:t>V</w:t>
      </w:r>
      <w:r w:rsidR="00491C47" w:rsidRPr="002E1640">
        <w:t>.</w:t>
      </w:r>
      <w:r w:rsidR="008B46EE">
        <w:tab/>
      </w:r>
      <w:bookmarkStart w:id="1" w:name="_Hlk7768271"/>
      <w:r w:rsidR="00E96570" w:rsidRPr="002E1640">
        <w:t>Investigations</w:t>
      </w:r>
    </w:p>
    <w:p w14:paraId="36D1AED3" w14:textId="77777777" w:rsidR="00547A46" w:rsidRPr="002E1640" w:rsidRDefault="00547A46" w:rsidP="00740FDC">
      <w:pPr>
        <w:pStyle w:val="PlainText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14:paraId="36D1AED4" w14:textId="5F9C7D97" w:rsidR="00E96570" w:rsidRPr="002E1640" w:rsidRDefault="00543885" w:rsidP="00740FDC">
      <w:pPr>
        <w:ind w:left="1260" w:hanging="540"/>
        <w:jc w:val="both"/>
      </w:pPr>
      <w:r w:rsidRPr="002E1640">
        <w:t>(</w:t>
      </w:r>
      <w:r w:rsidR="00A124D6">
        <w:t>A)</w:t>
      </w:r>
      <w:r w:rsidR="00547A46">
        <w:tab/>
      </w:r>
      <w:r w:rsidR="00E96570" w:rsidRPr="002E1640">
        <w:t>Nothi</w:t>
      </w:r>
      <w:r w:rsidR="005D3870" w:rsidRPr="002E1640">
        <w:t xml:space="preserve">ng in this policy shall prevent, </w:t>
      </w:r>
      <w:r w:rsidR="00E96570" w:rsidRPr="002E1640">
        <w:t>prohibit</w:t>
      </w:r>
      <w:r w:rsidR="005D3870" w:rsidRPr="002E1640">
        <w:t>, or delay</w:t>
      </w:r>
      <w:r w:rsidR="00E96570" w:rsidRPr="002E1640">
        <w:t xml:space="preserve"> a</w:t>
      </w:r>
      <w:r w:rsidR="009D24BC" w:rsidRPr="002E1640">
        <w:t xml:space="preserve">n </w:t>
      </w:r>
      <w:r w:rsidR="00FA4272">
        <w:t>DHS</w:t>
      </w:r>
      <w:r w:rsidR="00E96570" w:rsidRPr="002E1640">
        <w:t xml:space="preserve"> division, office, or institution from investigating violations of policy</w:t>
      </w:r>
      <w:r w:rsidR="005D3870" w:rsidRPr="002E1640">
        <w:t xml:space="preserve"> </w:t>
      </w:r>
      <w:r w:rsidR="00E96570" w:rsidRPr="002E1640">
        <w:t xml:space="preserve">or </w:t>
      </w:r>
      <w:r w:rsidR="00EC1BA4" w:rsidRPr="002E1640">
        <w:t xml:space="preserve">monitoring </w:t>
      </w:r>
      <w:r w:rsidR="00E96570" w:rsidRPr="002E1640">
        <w:t>compliance with contractual or grant obligations.</w:t>
      </w:r>
    </w:p>
    <w:p w14:paraId="36D1AED5" w14:textId="77777777" w:rsidR="002E1640" w:rsidRDefault="002E1640" w:rsidP="00740FDC">
      <w:pPr>
        <w:pStyle w:val="PlainText"/>
        <w:tabs>
          <w:tab w:val="left" w:pos="27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36D1AED6" w14:textId="7D9A6853" w:rsidR="00EC1BA4" w:rsidRPr="002E1640" w:rsidRDefault="00543885" w:rsidP="00740FDC">
      <w:pPr>
        <w:ind w:left="1260" w:hanging="540"/>
        <w:jc w:val="both"/>
      </w:pPr>
      <w:r w:rsidRPr="002E1640">
        <w:t>(</w:t>
      </w:r>
      <w:r w:rsidR="00A124D6">
        <w:t>B</w:t>
      </w:r>
      <w:r w:rsidRPr="002E1640">
        <w:t>)</w:t>
      </w:r>
      <w:r w:rsidR="00547A46">
        <w:tab/>
      </w:r>
      <w:r w:rsidR="005D3870" w:rsidRPr="002E1640">
        <w:t>When a</w:t>
      </w:r>
      <w:r w:rsidR="00FA4272">
        <w:t xml:space="preserve"> DHS</w:t>
      </w:r>
      <w:r w:rsidR="005D3870" w:rsidRPr="002E1640">
        <w:t xml:space="preserve"> employee is accused of unlawful discrimination, harassment, or retaliation under this policy, the employing division may defer disciplinary action until resolution of the investigation by the </w:t>
      </w:r>
      <w:r w:rsidR="00CA3839">
        <w:t>OER/OEO</w:t>
      </w:r>
      <w:r w:rsidR="005D3870" w:rsidRPr="002E1640">
        <w:t xml:space="preserve"> or </w:t>
      </w:r>
      <w:r w:rsidR="00ED30D8">
        <w:t>OSC</w:t>
      </w:r>
      <w:r w:rsidR="005D3870" w:rsidRPr="002E1640">
        <w:t xml:space="preserve">. </w:t>
      </w:r>
    </w:p>
    <w:p w14:paraId="36D1AED7" w14:textId="77777777" w:rsidR="002E1640" w:rsidRDefault="002E1640" w:rsidP="00740FDC">
      <w:pPr>
        <w:pStyle w:val="PlainText"/>
        <w:tabs>
          <w:tab w:val="left" w:pos="27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36D1AED8" w14:textId="27A13C67" w:rsidR="00627D8E" w:rsidRDefault="00543885" w:rsidP="00740FDC">
      <w:pPr>
        <w:ind w:left="1260" w:hanging="540"/>
        <w:jc w:val="both"/>
      </w:pPr>
      <w:r w:rsidRPr="002E1640">
        <w:t>(</w:t>
      </w:r>
      <w:r w:rsidR="00A124D6">
        <w:t>C</w:t>
      </w:r>
      <w:r w:rsidRPr="002E1640">
        <w:t>)</w:t>
      </w:r>
      <w:r w:rsidR="00631EAF">
        <w:tab/>
      </w:r>
      <w:r w:rsidR="005D3870" w:rsidRPr="002E1640">
        <w:t>Deferring disciplinary action for alleged discrimination, harassment, or retaliation does not prevent a division from administering discipline up to and including termination for violation</w:t>
      </w:r>
      <w:r w:rsidR="00491C47" w:rsidRPr="002E1640">
        <w:t xml:space="preserve"> </w:t>
      </w:r>
      <w:r w:rsidR="005D3870" w:rsidRPr="002E1640">
        <w:t xml:space="preserve">of other </w:t>
      </w:r>
      <w:r w:rsidR="00FA4272">
        <w:t>DHS</w:t>
      </w:r>
      <w:r w:rsidR="005D3870" w:rsidRPr="002E1640">
        <w:t xml:space="preserve"> policy, behavior, or performance expectations.</w:t>
      </w:r>
    </w:p>
    <w:bookmarkEnd w:id="1"/>
    <w:p w14:paraId="36D1AED9" w14:textId="77777777" w:rsidR="002E1640" w:rsidRPr="002E1640" w:rsidRDefault="002E1640" w:rsidP="00740FDC">
      <w:pPr>
        <w:pStyle w:val="PlainText"/>
        <w:tabs>
          <w:tab w:val="left" w:pos="27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36D1AEDD" w14:textId="77777777" w:rsidR="008F5C5A" w:rsidRDefault="008F5C5A" w:rsidP="00740FDC">
      <w:pPr>
        <w:pStyle w:val="PlainText"/>
        <w:spacing w:line="480" w:lineRule="auto"/>
        <w:jc w:val="both"/>
      </w:pPr>
    </w:p>
    <w:sectPr w:rsidR="008F5C5A" w:rsidSect="00534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1152" w:bottom="126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1AEE0" w14:textId="77777777" w:rsidR="006C477E" w:rsidRDefault="006C477E">
      <w:r>
        <w:separator/>
      </w:r>
    </w:p>
  </w:endnote>
  <w:endnote w:type="continuationSeparator" w:id="0">
    <w:p w14:paraId="36D1AEE1" w14:textId="77777777" w:rsidR="006C477E" w:rsidRDefault="006C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BA0F" w14:textId="77777777" w:rsidR="00C825E5" w:rsidRDefault="00C82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AEE3" w14:textId="53AA30AB" w:rsidR="008F5C5A" w:rsidRPr="00C825E5" w:rsidRDefault="008F5C5A">
    <w:pPr>
      <w:pStyle w:val="Footer"/>
      <w:tabs>
        <w:tab w:val="clear" w:pos="4320"/>
        <w:tab w:val="clear" w:pos="8640"/>
      </w:tabs>
      <w:rPr>
        <w:bCs/>
      </w:rPr>
    </w:pPr>
    <w:r w:rsidRPr="00C825E5">
      <w:rPr>
        <w:bCs/>
      </w:rPr>
      <w:t>Effective Date:</w:t>
    </w:r>
    <w:r w:rsidR="002420AF">
      <w:rPr>
        <w:bCs/>
      </w:rPr>
      <w:t xml:space="preserve"> </w:t>
    </w:r>
    <w:r w:rsidR="00C825E5">
      <w:rPr>
        <w:bCs/>
      </w:rPr>
      <w:t>September 3, 2019</w:t>
    </w:r>
    <w:r w:rsidRPr="00C825E5">
      <w:rPr>
        <w:bCs/>
      </w:rPr>
      <w:tab/>
    </w:r>
    <w:r w:rsidR="00BA4AE8" w:rsidRPr="00C825E5">
      <w:rPr>
        <w:bCs/>
      </w:rPr>
      <w:tab/>
    </w:r>
    <w:r w:rsidR="00BA4AE8" w:rsidRPr="00C825E5">
      <w:rPr>
        <w:bCs/>
      </w:rPr>
      <w:tab/>
    </w:r>
    <w:r w:rsidR="00BA4AE8" w:rsidRPr="00C825E5">
      <w:rPr>
        <w:bCs/>
      </w:rPr>
      <w:tab/>
    </w:r>
    <w:r w:rsidRPr="00C825E5">
      <w:rPr>
        <w:bCs/>
      </w:rPr>
      <w:tab/>
    </w:r>
    <w:r w:rsidR="0006795F" w:rsidRPr="00C825E5">
      <w:rPr>
        <w:bCs/>
      </w:rPr>
      <w:tab/>
    </w:r>
    <w:r w:rsidR="0006795F" w:rsidRPr="00C825E5">
      <w:rPr>
        <w:bCs/>
      </w:rPr>
      <w:tab/>
    </w:r>
    <w:r w:rsidR="0006795F" w:rsidRPr="00C825E5">
      <w:rPr>
        <w:bCs/>
      </w:rPr>
      <w:tab/>
    </w:r>
    <w:r w:rsidRPr="00C825E5">
      <w:rPr>
        <w:bCs/>
        <w:snapToGrid w:val="0"/>
      </w:rPr>
      <w:t xml:space="preserve">Page </w:t>
    </w:r>
    <w:r w:rsidRPr="00C825E5">
      <w:rPr>
        <w:bCs/>
        <w:snapToGrid w:val="0"/>
      </w:rPr>
      <w:fldChar w:fldCharType="begin"/>
    </w:r>
    <w:r w:rsidRPr="00C825E5">
      <w:rPr>
        <w:bCs/>
        <w:snapToGrid w:val="0"/>
      </w:rPr>
      <w:instrText xml:space="preserve"> PAGE </w:instrText>
    </w:r>
    <w:r w:rsidRPr="00C825E5">
      <w:rPr>
        <w:bCs/>
        <w:snapToGrid w:val="0"/>
      </w:rPr>
      <w:fldChar w:fldCharType="separate"/>
    </w:r>
    <w:r w:rsidR="002F3C77" w:rsidRPr="00C825E5">
      <w:rPr>
        <w:bCs/>
        <w:noProof/>
        <w:snapToGrid w:val="0"/>
      </w:rPr>
      <w:t>3</w:t>
    </w:r>
    <w:r w:rsidRPr="00C825E5">
      <w:rPr>
        <w:bCs/>
        <w:snapToGrid w:val="0"/>
      </w:rPr>
      <w:fldChar w:fldCharType="end"/>
    </w:r>
    <w:r w:rsidRPr="00C825E5">
      <w:rPr>
        <w:bCs/>
        <w:snapToGrid w:val="0"/>
      </w:rPr>
      <w:t xml:space="preserve"> of </w:t>
    </w:r>
    <w:r w:rsidRPr="00C825E5">
      <w:rPr>
        <w:bCs/>
        <w:snapToGrid w:val="0"/>
      </w:rPr>
      <w:fldChar w:fldCharType="begin"/>
    </w:r>
    <w:r w:rsidRPr="00C825E5">
      <w:rPr>
        <w:bCs/>
        <w:snapToGrid w:val="0"/>
      </w:rPr>
      <w:instrText xml:space="preserve"> NUMPAGES </w:instrText>
    </w:r>
    <w:r w:rsidRPr="00C825E5">
      <w:rPr>
        <w:bCs/>
        <w:snapToGrid w:val="0"/>
      </w:rPr>
      <w:fldChar w:fldCharType="separate"/>
    </w:r>
    <w:r w:rsidR="002F3C77" w:rsidRPr="00C825E5">
      <w:rPr>
        <w:bCs/>
        <w:noProof/>
        <w:snapToGrid w:val="0"/>
      </w:rPr>
      <w:t>3</w:t>
    </w:r>
    <w:r w:rsidRPr="00C825E5">
      <w:rPr>
        <w:bCs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2994" w14:textId="77777777" w:rsidR="00C825E5" w:rsidRDefault="00C82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1AEDE" w14:textId="77777777" w:rsidR="006C477E" w:rsidRDefault="006C477E">
      <w:r>
        <w:separator/>
      </w:r>
    </w:p>
  </w:footnote>
  <w:footnote w:type="continuationSeparator" w:id="0">
    <w:p w14:paraId="36D1AEDF" w14:textId="77777777" w:rsidR="006C477E" w:rsidRDefault="006C4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F92D8" w14:textId="77777777" w:rsidR="00C825E5" w:rsidRDefault="00C82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AEE2" w14:textId="77777777" w:rsidR="00BA4AE8" w:rsidRPr="00BA4AE8" w:rsidRDefault="00BA4AE8" w:rsidP="00BA4AE8">
    <w:pPr>
      <w:pStyle w:val="Header"/>
      <w:tabs>
        <w:tab w:val="clear" w:pos="8640"/>
        <w:tab w:val="right" w:pos="9900"/>
      </w:tabs>
      <w:rPr>
        <w:color w:val="FF000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D5AB" w14:textId="77777777" w:rsidR="00C825E5" w:rsidRDefault="00C82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0433"/>
    <w:multiLevelType w:val="singleLevel"/>
    <w:tmpl w:val="69C29D60"/>
    <w:lvl w:ilvl="0">
      <w:start w:val="1"/>
      <w:numFmt w:val="upperRoman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</w:abstractNum>
  <w:abstractNum w:abstractNumId="1" w15:restartNumberingAfterBreak="0">
    <w:nsid w:val="1EDA489D"/>
    <w:multiLevelType w:val="hybridMultilevel"/>
    <w:tmpl w:val="ABBA7F24"/>
    <w:lvl w:ilvl="0" w:tplc="5D9A66F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67917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D61157A"/>
    <w:multiLevelType w:val="multilevel"/>
    <w:tmpl w:val="30849880"/>
    <w:lvl w:ilvl="0">
      <w:start w:val="1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88A0A30"/>
    <w:multiLevelType w:val="singleLevel"/>
    <w:tmpl w:val="2EB66250"/>
    <w:lvl w:ilvl="0">
      <w:start w:val="3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28"/>
    <w:rsid w:val="00017392"/>
    <w:rsid w:val="000271A3"/>
    <w:rsid w:val="00045EFE"/>
    <w:rsid w:val="0006795F"/>
    <w:rsid w:val="000A32E5"/>
    <w:rsid w:val="000C07F7"/>
    <w:rsid w:val="000D07D3"/>
    <w:rsid w:val="00102B08"/>
    <w:rsid w:val="001040C2"/>
    <w:rsid w:val="001B6202"/>
    <w:rsid w:val="001F352E"/>
    <w:rsid w:val="002420AF"/>
    <w:rsid w:val="0025073D"/>
    <w:rsid w:val="002C2E4D"/>
    <w:rsid w:val="002E1640"/>
    <w:rsid w:val="002F3C77"/>
    <w:rsid w:val="003004C0"/>
    <w:rsid w:val="003929AB"/>
    <w:rsid w:val="00396CD4"/>
    <w:rsid w:val="003B79A5"/>
    <w:rsid w:val="003E4F93"/>
    <w:rsid w:val="00403D4B"/>
    <w:rsid w:val="00440146"/>
    <w:rsid w:val="004511F3"/>
    <w:rsid w:val="00491C47"/>
    <w:rsid w:val="0049228D"/>
    <w:rsid w:val="004B34E7"/>
    <w:rsid w:val="00534338"/>
    <w:rsid w:val="00541249"/>
    <w:rsid w:val="00543885"/>
    <w:rsid w:val="00547A46"/>
    <w:rsid w:val="00565353"/>
    <w:rsid w:val="005757D9"/>
    <w:rsid w:val="005855EE"/>
    <w:rsid w:val="005A3DD9"/>
    <w:rsid w:val="005D3870"/>
    <w:rsid w:val="00627D8E"/>
    <w:rsid w:val="00631EAF"/>
    <w:rsid w:val="00697476"/>
    <w:rsid w:val="006A07A1"/>
    <w:rsid w:val="006B472A"/>
    <w:rsid w:val="006B499B"/>
    <w:rsid w:val="006C477E"/>
    <w:rsid w:val="00725590"/>
    <w:rsid w:val="00734389"/>
    <w:rsid w:val="00740FDC"/>
    <w:rsid w:val="007572CE"/>
    <w:rsid w:val="00763BFD"/>
    <w:rsid w:val="0079053B"/>
    <w:rsid w:val="007B7CB7"/>
    <w:rsid w:val="007E2F96"/>
    <w:rsid w:val="007F7FE9"/>
    <w:rsid w:val="00812DFE"/>
    <w:rsid w:val="00825595"/>
    <w:rsid w:val="00852138"/>
    <w:rsid w:val="00852D4F"/>
    <w:rsid w:val="00854D13"/>
    <w:rsid w:val="008B46EE"/>
    <w:rsid w:val="008C4528"/>
    <w:rsid w:val="008D21B7"/>
    <w:rsid w:val="008F5C5A"/>
    <w:rsid w:val="00943BDD"/>
    <w:rsid w:val="00973E3B"/>
    <w:rsid w:val="00980034"/>
    <w:rsid w:val="00980D7A"/>
    <w:rsid w:val="009D24BC"/>
    <w:rsid w:val="009D6066"/>
    <w:rsid w:val="00A10B10"/>
    <w:rsid w:val="00A124D6"/>
    <w:rsid w:val="00A20164"/>
    <w:rsid w:val="00A26D44"/>
    <w:rsid w:val="00A57D40"/>
    <w:rsid w:val="00A75AA6"/>
    <w:rsid w:val="00AA7732"/>
    <w:rsid w:val="00AB5ED0"/>
    <w:rsid w:val="00AC0B28"/>
    <w:rsid w:val="00B05421"/>
    <w:rsid w:val="00B13B81"/>
    <w:rsid w:val="00B33CF8"/>
    <w:rsid w:val="00B46FD7"/>
    <w:rsid w:val="00B66C30"/>
    <w:rsid w:val="00B75256"/>
    <w:rsid w:val="00BA4AE8"/>
    <w:rsid w:val="00BB592B"/>
    <w:rsid w:val="00BD525A"/>
    <w:rsid w:val="00BE010A"/>
    <w:rsid w:val="00BE7D41"/>
    <w:rsid w:val="00BF537C"/>
    <w:rsid w:val="00C324C1"/>
    <w:rsid w:val="00C6253F"/>
    <w:rsid w:val="00C825E5"/>
    <w:rsid w:val="00C935F5"/>
    <w:rsid w:val="00CA3839"/>
    <w:rsid w:val="00CD209E"/>
    <w:rsid w:val="00CE1337"/>
    <w:rsid w:val="00D31505"/>
    <w:rsid w:val="00D82456"/>
    <w:rsid w:val="00DB700A"/>
    <w:rsid w:val="00DD4E9B"/>
    <w:rsid w:val="00E21F24"/>
    <w:rsid w:val="00E73E70"/>
    <w:rsid w:val="00E7735D"/>
    <w:rsid w:val="00E842B0"/>
    <w:rsid w:val="00E849A3"/>
    <w:rsid w:val="00E96570"/>
    <w:rsid w:val="00EC1BA4"/>
    <w:rsid w:val="00ED30D8"/>
    <w:rsid w:val="00EE6B18"/>
    <w:rsid w:val="00EE7FDB"/>
    <w:rsid w:val="00EF7E2B"/>
    <w:rsid w:val="00F14251"/>
    <w:rsid w:val="00F226B6"/>
    <w:rsid w:val="00F54D9C"/>
    <w:rsid w:val="00F56BD6"/>
    <w:rsid w:val="00F6760E"/>
    <w:rsid w:val="00F9797D"/>
    <w:rsid w:val="00FA4272"/>
    <w:rsid w:val="00FD1304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1AE99"/>
  <w15:docId w15:val="{7BAE0765-ED0D-41A5-A973-DE9274FA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" w:hAnsi="Courier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" w:hAnsi="Courier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" w:hAnsi="Univers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bCs/>
    </w:rPr>
  </w:style>
  <w:style w:type="paragraph" w:styleId="BalloonText">
    <w:name w:val="Balloon Text"/>
    <w:basedOn w:val="Normal"/>
    <w:link w:val="BalloonTextChar"/>
    <w:rsid w:val="00980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595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06795F"/>
    <w:pPr>
      <w:autoSpaceDE/>
      <w:autoSpaceDN/>
      <w:spacing w:after="60"/>
      <w:ind w:left="1152" w:hanging="1152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06795F"/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79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7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9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Number xmlns="117d80a1-0d87-45ef-abd5-ff2203ddf9b9">1009</Policy_x0020_Number>
    <Gov_x0020_Policy_x0020_Dirctv xmlns="117d80a1-0d87-45ef-abd5-ff2203ddf9b9">false</Gov_x0020_Policy_x0020_Dirctv>
    <Policy_x0020_Description xmlns="117d80a1-0d87-45ef-abd5-ff2203ddf9b9" xsi:nil="true"/>
    <Policy_x0020_Name xmlns="117d80a1-0d87-45ef-abd5-ff2203ddf9b9">1009 Equal Opportunity Policy</Policy_x0020_Name>
    <Version_x0020_Date xmlns="117d80a1-0d87-45ef-abd5-ff2203ddf9b9">2014-05-15T05:00:00+00:00</Version_x0020_Date>
    <Seq xmlns="117d80a1-0d87-45ef-abd5-ff2203ddf9b9">01</Seq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D13EB6A9C0C4792E491F2C011D80A" ma:contentTypeVersion="6" ma:contentTypeDescription="Create a new document." ma:contentTypeScope="" ma:versionID="918f1f3e320b0cd7d101367c7faad1f8">
  <xsd:schema xmlns:xsd="http://www.w3.org/2001/XMLSchema" xmlns:xs="http://www.w3.org/2001/XMLSchema" xmlns:p="http://schemas.microsoft.com/office/2006/metadata/properties" xmlns:ns2="117d80a1-0d87-45ef-abd5-ff2203ddf9b9" targetNamespace="http://schemas.microsoft.com/office/2006/metadata/properties" ma:root="true" ma:fieldsID="c313359fb6e303dce2a7c079249967e5" ns2:_="">
    <xsd:import namespace="117d80a1-0d87-45ef-abd5-ff2203ddf9b9"/>
    <xsd:element name="properties">
      <xsd:complexType>
        <xsd:sequence>
          <xsd:element name="documentManagement">
            <xsd:complexType>
              <xsd:all>
                <xsd:element ref="ns2:Policy_x0020_Number"/>
                <xsd:element ref="ns2:Policy_x0020_Name" minOccurs="0"/>
                <xsd:element ref="ns2:Policy_x0020_Description" minOccurs="0"/>
                <xsd:element ref="ns2:Version_x0020_Date" minOccurs="0"/>
                <xsd:element ref="ns2:Seq" minOccurs="0"/>
                <xsd:element ref="ns2:Gov_x0020_Policy_x0020_Dirct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d80a1-0d87-45ef-abd5-ff2203ddf9b9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8" ma:displayName="Policy No" ma:default="" ma:description="Number of Policy" ma:internalName="Policy_x0020_Number">
      <xsd:simpleType>
        <xsd:restriction base="dms:Text">
          <xsd:maxLength value="10"/>
        </xsd:restriction>
      </xsd:simpleType>
    </xsd:element>
    <xsd:element name="Policy_x0020_Name" ma:index="9" nillable="true" ma:displayName="Policy Group" ma:default="" ma:description="The name of the policy" ma:internalName="Policy_x0020_Name">
      <xsd:simpleType>
        <xsd:restriction base="dms:Text">
          <xsd:maxLength value="255"/>
        </xsd:restriction>
      </xsd:simpleType>
    </xsd:element>
    <xsd:element name="Policy_x0020_Description" ma:index="10" nillable="true" ma:displayName="Policy Description" ma:description="A brief description explaining the purpose of the policy and major components" ma:internalName="Policy_x0020_Description">
      <xsd:simpleType>
        <xsd:restriction base="dms:Note">
          <xsd:maxLength value="255"/>
        </xsd:restriction>
      </xsd:simpleType>
    </xsd:element>
    <xsd:element name="Version_x0020_Date" ma:index="11" nillable="true" ma:displayName="Version Date" ma:format="DateOnly" ma:internalName="Version_x0020_Date">
      <xsd:simpleType>
        <xsd:restriction base="dms:DateTime"/>
      </xsd:simpleType>
    </xsd:element>
    <xsd:element name="Seq" ma:index="12" nillable="true" ma:displayName="Seq" ma:default="" ma:internalName="Seq">
      <xsd:simpleType>
        <xsd:restriction base="dms:Text">
          <xsd:maxLength value="10"/>
        </xsd:restriction>
      </xsd:simpleType>
    </xsd:element>
    <xsd:element name="Gov_x0020_Policy_x0020_Dirctv" ma:index="13" nillable="true" ma:displayName="Gov Policy Dirctv" ma:default="0" ma:internalName="Gov_x0020_Policy_x0020_Dirctv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11C51-9E04-40E8-A546-5BABD1C1C090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17d80a1-0d87-45ef-abd5-ff2203ddf9b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2A9E78-D212-4E50-863A-45F8B3916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4DDF9-581F-4970-B04F-08DBC861B9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FC59DF-0428-4434-931A-24937ABF5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d80a1-0d87-45ef-abd5-ff2203dd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Opportunity Policy</vt:lpstr>
    </vt:vector>
  </TitlesOfParts>
  <Manager>Misty Bowen Eubanks, OPLS</Manager>
  <Company>DHS - OPLS, Policy Unit</Company>
  <LinksUpToDate>false</LinksUpToDate>
  <CharactersWithSpaces>5039</CharactersWithSpaces>
  <SharedDoc>false</SharedDoc>
  <HyperlinkBase>https://dhsshare.arkansas.gov/DHS%20Policies/Forms/By%20Policy.aspx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Policy</dc:title>
  <dc:subject>DHS Policy 1009, Equal Opportunity and Affirmative Action</dc:subject>
  <dc:creator>Alisa Carter, OPLS;Carmen.Mosley-Sims@dhs.arkansas.gov</dc:creator>
  <cp:keywords>DHS Policy 1009, Equal Opportunity Policy</cp:keywords>
  <dc:description>Effective Date: May 15, 2014</dc:description>
  <cp:lastModifiedBy>Nicholas Provencher</cp:lastModifiedBy>
  <cp:revision>2</cp:revision>
  <cp:lastPrinted>2019-06-13T20:47:00Z</cp:lastPrinted>
  <dcterms:created xsi:type="dcterms:W3CDTF">2019-09-03T16:32:00Z</dcterms:created>
  <dcterms:modified xsi:type="dcterms:W3CDTF">2019-09-03T16:32:00Z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0x010100AC3D13EB6A9C0C4792E491F2C011D80A</vt:lpwstr>
  </property>
  <property fmtid="{D5CDD505-2E9C-101B-9397-08002B2CF9AE}" pid="4" name="TemplateUrl">
    <vt:lpwstr/>
  </property>
  <property fmtid="{D5CDD505-2E9C-101B-9397-08002B2CF9AE}" pid="5" name="Order">
    <vt:r8>11100</vt:r8>
  </property>
  <property fmtid="{D5CDD505-2E9C-101B-9397-08002B2CF9AE}" pid="6" name="xd_ProgID">
    <vt:lpwstr/>
  </property>
  <property fmtid="{D5CDD505-2E9C-101B-9397-08002B2CF9AE}" pid="7" name="_CopySource">
    <vt:lpwstr>http://dhsshare/DHSPolicy/DHS Master Library/DHS Policy 1009 Equal Opportunity Policy.docx</vt:lpwstr>
  </property>
</Properties>
</file>