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F633" w14:textId="6570347E" w:rsidR="00D55A57" w:rsidRPr="003B41FD" w:rsidRDefault="00D55A57" w:rsidP="006A4517">
      <w:pPr>
        <w:pStyle w:val="ListParagraph"/>
        <w:numPr>
          <w:ilvl w:val="0"/>
          <w:numId w:val="3"/>
        </w:numPr>
        <w:tabs>
          <w:tab w:val="left" w:pos="-990"/>
          <w:tab w:val="left" w:pos="-900"/>
        </w:tabs>
        <w:ind w:left="0" w:firstLine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Secure Employee Workstation </w:t>
      </w:r>
      <w:r w:rsidR="00253461">
        <w:rPr>
          <w:b/>
        </w:rPr>
        <w:t>and Identification Policy</w:t>
      </w:r>
    </w:p>
    <w:p w14:paraId="331AC5BD" w14:textId="77777777" w:rsidR="00D55A57" w:rsidRPr="00A74448" w:rsidRDefault="00D55A57" w:rsidP="006A4517">
      <w:pPr>
        <w:tabs>
          <w:tab w:val="num" w:pos="-2430"/>
        </w:tabs>
        <w:ind w:left="1170" w:hanging="1170"/>
        <w:jc w:val="both"/>
        <w:rPr>
          <w:b/>
        </w:rPr>
      </w:pPr>
    </w:p>
    <w:p w14:paraId="2520BAE1" w14:textId="77777777" w:rsidR="00D55A57" w:rsidRPr="00153AD6" w:rsidRDefault="00D55A57" w:rsidP="006A4517">
      <w:pPr>
        <w:numPr>
          <w:ilvl w:val="0"/>
          <w:numId w:val="1"/>
        </w:numPr>
        <w:ind w:left="720"/>
        <w:jc w:val="both"/>
      </w:pPr>
      <w:r w:rsidRPr="00153AD6">
        <w:t>Applicability</w:t>
      </w:r>
    </w:p>
    <w:p w14:paraId="73AE0DB2" w14:textId="77777777" w:rsidR="00D55A57" w:rsidRPr="00153AD6" w:rsidRDefault="00D55A57" w:rsidP="006A4517">
      <w:pPr>
        <w:ind w:left="720"/>
        <w:jc w:val="both"/>
      </w:pPr>
    </w:p>
    <w:p w14:paraId="77505C33" w14:textId="77777777" w:rsidR="00D55A57" w:rsidRDefault="00D55A57" w:rsidP="006A4517">
      <w:pPr>
        <w:ind w:left="720"/>
        <w:jc w:val="both"/>
      </w:pPr>
      <w:r w:rsidRPr="00A74448">
        <w:t xml:space="preserve">These rules apply to all </w:t>
      </w:r>
      <w:r w:rsidR="002525B5">
        <w:t>Department of Human Services (</w:t>
      </w:r>
      <w:r>
        <w:t>DHS</w:t>
      </w:r>
      <w:r w:rsidR="002525B5">
        <w:t>)</w:t>
      </w:r>
      <w:r w:rsidRPr="00A74448">
        <w:t xml:space="preserve"> </w:t>
      </w:r>
      <w:r>
        <w:t xml:space="preserve">employees, contractors, workforce members, and anyone with access to confidential DHS </w:t>
      </w:r>
      <w:r w:rsidRPr="00A74448">
        <w:t>client information</w:t>
      </w:r>
      <w:r>
        <w:t xml:space="preserve"> or DHS information systems.</w:t>
      </w:r>
    </w:p>
    <w:p w14:paraId="60EDF827" w14:textId="77777777" w:rsidR="006E6F3C" w:rsidRDefault="006E6F3C" w:rsidP="006A4517">
      <w:pPr>
        <w:ind w:left="720"/>
        <w:jc w:val="both"/>
      </w:pPr>
    </w:p>
    <w:p w14:paraId="2455D21A" w14:textId="77777777" w:rsidR="003350F5" w:rsidRPr="00153AD6" w:rsidRDefault="003350F5" w:rsidP="006A4517">
      <w:pPr>
        <w:pStyle w:val="ListParagraph"/>
        <w:numPr>
          <w:ilvl w:val="0"/>
          <w:numId w:val="1"/>
        </w:numPr>
        <w:ind w:left="720"/>
        <w:jc w:val="both"/>
      </w:pPr>
      <w:bookmarkStart w:id="1" w:name="_Hlk2322635"/>
      <w:r w:rsidRPr="00153AD6">
        <w:t>Definitions</w:t>
      </w:r>
    </w:p>
    <w:p w14:paraId="0B69F26F" w14:textId="77777777" w:rsidR="003350F5" w:rsidRPr="00A74448" w:rsidRDefault="003350F5" w:rsidP="006A4517">
      <w:pPr>
        <w:pStyle w:val="ListParagraph"/>
        <w:jc w:val="both"/>
        <w:rPr>
          <w:b/>
        </w:rPr>
      </w:pPr>
    </w:p>
    <w:p w14:paraId="7A864EA2" w14:textId="142A4921" w:rsidR="003350F5" w:rsidRPr="00A74448" w:rsidRDefault="003350F5" w:rsidP="006A4517">
      <w:pPr>
        <w:pStyle w:val="ListParagraph"/>
        <w:numPr>
          <w:ilvl w:val="0"/>
          <w:numId w:val="9"/>
        </w:numPr>
        <w:ind w:left="1260" w:hanging="540"/>
        <w:jc w:val="both"/>
      </w:pPr>
      <w:r w:rsidRPr="00153AD6">
        <w:t>Confidential Information</w:t>
      </w:r>
      <w:r w:rsidR="006E6F3C">
        <w:t>:</w:t>
      </w:r>
      <w:r w:rsidRPr="00153AD6">
        <w:t xml:space="preserve"> information</w:t>
      </w:r>
      <w:r w:rsidRPr="00A74448">
        <w:t xml:space="preserve"> that is protected from disclosur</w:t>
      </w:r>
      <w:r>
        <w:t xml:space="preserve">e by federal law (such as the Health Insurance Portability and Accountability Act [HIPAA], </w:t>
      </w:r>
      <w:r w:rsidR="006E6F3C">
        <w:t xml:space="preserve">Protected Health Information [PHI], Criminal Justice Information Services [CJIS], </w:t>
      </w:r>
      <w:r>
        <w:t>Health Information Technology for Economic and Clinical Health [HITECH],</w:t>
      </w:r>
      <w:r w:rsidRPr="00A74448">
        <w:t xml:space="preserve"> Social Security Administration [SSA]</w:t>
      </w:r>
      <w:r w:rsidR="006E6F3C">
        <w:t xml:space="preserve">, </w:t>
      </w:r>
      <w:r w:rsidR="007E6A60">
        <w:t xml:space="preserve">and </w:t>
      </w:r>
      <w:r w:rsidR="006E6F3C">
        <w:t>Federal Tax Information [FTI]</w:t>
      </w:r>
      <w:r w:rsidRPr="00A74448">
        <w:t>)</w:t>
      </w:r>
      <w:r w:rsidR="006E6F3C">
        <w:t>,</w:t>
      </w:r>
      <w:r w:rsidRPr="00A74448">
        <w:t xml:space="preserve"> state law</w:t>
      </w:r>
      <w:r w:rsidR="006E6F3C">
        <w:t>,</w:t>
      </w:r>
      <w:r w:rsidRPr="00A74448">
        <w:t xml:space="preserve"> regulation</w:t>
      </w:r>
      <w:r w:rsidR="006E6F3C">
        <w:t>,</w:t>
      </w:r>
      <w:r>
        <w:t xml:space="preserve"> </w:t>
      </w:r>
      <w:r w:rsidR="006E6F3C">
        <w:t xml:space="preserve">or </w:t>
      </w:r>
      <w:r>
        <w:t>information that identifies a foster child, foster or adoptive parents, or Medicaid recip</w:t>
      </w:r>
      <w:r w:rsidR="006E6F3C">
        <w:t>i</w:t>
      </w:r>
      <w:r>
        <w:t>ents</w:t>
      </w:r>
      <w:r w:rsidRPr="00A74448">
        <w:t>.</w:t>
      </w:r>
      <w:r w:rsidR="006E6F3C">
        <w:t xml:space="preserve"> See DHS Policy 4002 for more detailed information on confidential information.</w:t>
      </w:r>
    </w:p>
    <w:p w14:paraId="0D83938B" w14:textId="77777777" w:rsidR="003350F5" w:rsidRPr="00A74448" w:rsidRDefault="003350F5" w:rsidP="006A4517">
      <w:pPr>
        <w:ind w:left="1260" w:hanging="540"/>
        <w:jc w:val="both"/>
        <w:rPr>
          <w:u w:val="single"/>
        </w:rPr>
      </w:pPr>
    </w:p>
    <w:p w14:paraId="5BA1AAC0" w14:textId="1570EE23" w:rsidR="003350F5" w:rsidRPr="009C5D56" w:rsidRDefault="003350F5" w:rsidP="006A4517">
      <w:pPr>
        <w:pStyle w:val="ListParagraph"/>
        <w:numPr>
          <w:ilvl w:val="0"/>
          <w:numId w:val="9"/>
        </w:numPr>
        <w:ind w:left="1260" w:hanging="540"/>
        <w:jc w:val="both"/>
      </w:pPr>
      <w:r w:rsidRPr="002F3A79">
        <w:rPr>
          <w:lang w:val="en"/>
        </w:rPr>
        <w:t>Computing devices</w:t>
      </w:r>
      <w:r w:rsidR="006E6F3C" w:rsidRPr="002F3A79">
        <w:rPr>
          <w:lang w:val="en"/>
        </w:rPr>
        <w:t>:</w:t>
      </w:r>
      <w:r w:rsidRPr="002F3A79">
        <w:rPr>
          <w:lang w:val="en"/>
        </w:rPr>
        <w:t xml:space="preserve"> include, but are not limited to, laptops, notebooks, smart phones, tablets, and computers.</w:t>
      </w:r>
      <w:bookmarkEnd w:id="1"/>
    </w:p>
    <w:p w14:paraId="6420731F" w14:textId="77777777" w:rsidR="00D55A57" w:rsidRPr="00A74448" w:rsidRDefault="00D55A57" w:rsidP="006A4517">
      <w:pPr>
        <w:ind w:left="1368" w:hanging="648"/>
        <w:jc w:val="both"/>
      </w:pPr>
      <w:r w:rsidRPr="00A74448">
        <w:t xml:space="preserve"> </w:t>
      </w:r>
    </w:p>
    <w:p w14:paraId="4BED5144" w14:textId="3BC556A7" w:rsidR="00D55A57" w:rsidRPr="00153AD6" w:rsidRDefault="00D55A57" w:rsidP="006A4517">
      <w:pPr>
        <w:pStyle w:val="ListParagraph"/>
        <w:numPr>
          <w:ilvl w:val="0"/>
          <w:numId w:val="1"/>
        </w:numPr>
        <w:ind w:left="720"/>
        <w:jc w:val="both"/>
      </w:pPr>
      <w:r w:rsidRPr="00153AD6">
        <w:t>Policy</w:t>
      </w:r>
    </w:p>
    <w:p w14:paraId="6A5371D8" w14:textId="77777777" w:rsidR="00D55A57" w:rsidRPr="00A74448" w:rsidRDefault="00D55A57" w:rsidP="006A4517">
      <w:pPr>
        <w:pStyle w:val="ListParagraph"/>
        <w:jc w:val="both"/>
      </w:pPr>
    </w:p>
    <w:p w14:paraId="1E436B00" w14:textId="51795B1A" w:rsidR="00D55A57" w:rsidRDefault="00D55A57" w:rsidP="006A4517">
      <w:pPr>
        <w:pStyle w:val="ListParagraph"/>
        <w:numPr>
          <w:ilvl w:val="0"/>
          <w:numId w:val="10"/>
        </w:numPr>
        <w:ind w:left="1260" w:hanging="540"/>
        <w:jc w:val="both"/>
      </w:pPr>
      <w:r w:rsidRPr="00A74448">
        <w:t xml:space="preserve">All DHS employees </w:t>
      </w:r>
      <w:r>
        <w:t xml:space="preserve">and contractors </w:t>
      </w:r>
      <w:r w:rsidRPr="00A74448">
        <w:t>are</w:t>
      </w:r>
      <w:r>
        <w:t xml:space="preserve"> </w:t>
      </w:r>
      <w:r w:rsidRPr="00A74448">
        <w:t>req</w:t>
      </w:r>
      <w:r>
        <w:t xml:space="preserve">uired to protect confidential </w:t>
      </w:r>
      <w:r w:rsidRPr="00A74448">
        <w:t>information</w:t>
      </w:r>
      <w:r w:rsidR="003350F5">
        <w:t>.</w:t>
      </w:r>
      <w:r>
        <w:t xml:space="preserve">  </w:t>
      </w:r>
    </w:p>
    <w:p w14:paraId="1B6C9853" w14:textId="77777777" w:rsidR="00D55A57" w:rsidRDefault="00D55A57" w:rsidP="006A4517">
      <w:pPr>
        <w:jc w:val="both"/>
      </w:pPr>
    </w:p>
    <w:p w14:paraId="301C59E8" w14:textId="012C78C8" w:rsidR="00D55A57" w:rsidRDefault="00D55A57" w:rsidP="006A4517">
      <w:pPr>
        <w:pStyle w:val="ListParagraph"/>
        <w:numPr>
          <w:ilvl w:val="0"/>
          <w:numId w:val="10"/>
        </w:numPr>
        <w:ind w:left="1260" w:hanging="540"/>
        <w:jc w:val="both"/>
      </w:pPr>
      <w:r>
        <w:t xml:space="preserve">Employees must restrict the visibility of </w:t>
      </w:r>
      <w:r w:rsidR="003350F5">
        <w:t xml:space="preserve">confidential information </w:t>
      </w:r>
      <w:r>
        <w:t>by:</w:t>
      </w:r>
    </w:p>
    <w:p w14:paraId="4AB1E422" w14:textId="77777777" w:rsidR="00D55A57" w:rsidRDefault="00D55A57" w:rsidP="006A4517">
      <w:pPr>
        <w:ind w:left="1260"/>
        <w:jc w:val="both"/>
      </w:pPr>
    </w:p>
    <w:p w14:paraId="2589D7CD" w14:textId="149A40B0" w:rsidR="00D55A57" w:rsidRDefault="00D55A57" w:rsidP="006A4517">
      <w:pPr>
        <w:ind w:left="1800" w:hanging="540"/>
        <w:jc w:val="both"/>
      </w:pPr>
      <w:r>
        <w:t>(1)</w:t>
      </w:r>
      <w:r>
        <w:tab/>
      </w:r>
      <w:r w:rsidRPr="00A74448">
        <w:t>Ensur</w:t>
      </w:r>
      <w:r w:rsidR="006E6F3C">
        <w:t>ing</w:t>
      </w:r>
      <w:r w:rsidRPr="00A74448">
        <w:t xml:space="preserve"> that workstations are posi</w:t>
      </w:r>
      <w:r>
        <w:t>tioned away from public viewing</w:t>
      </w:r>
      <w:r w:rsidR="006E6F3C">
        <w:t>;</w:t>
      </w:r>
    </w:p>
    <w:p w14:paraId="34289915" w14:textId="77777777" w:rsidR="00D55A57" w:rsidRDefault="00D55A57" w:rsidP="006A4517">
      <w:pPr>
        <w:ind w:left="1800" w:hanging="540"/>
        <w:jc w:val="both"/>
      </w:pPr>
    </w:p>
    <w:p w14:paraId="14858AA8" w14:textId="3BCEA3D2" w:rsidR="00D55A57" w:rsidRDefault="00D55A57" w:rsidP="006A4517">
      <w:pPr>
        <w:ind w:left="1800" w:hanging="540"/>
        <w:jc w:val="both"/>
      </w:pPr>
      <w:r>
        <w:t>(2)</w:t>
      </w:r>
      <w:r>
        <w:tab/>
        <w:t>Ensur</w:t>
      </w:r>
      <w:r w:rsidR="006E6F3C">
        <w:t>ing</w:t>
      </w:r>
      <w:r>
        <w:t xml:space="preserve"> that visitors are not left unattended</w:t>
      </w:r>
      <w:r w:rsidR="006E6F3C">
        <w:t>;</w:t>
      </w:r>
    </w:p>
    <w:p w14:paraId="62250235" w14:textId="77777777" w:rsidR="00D55A57" w:rsidRDefault="00D55A57" w:rsidP="006A4517">
      <w:pPr>
        <w:ind w:left="1800" w:hanging="540"/>
        <w:jc w:val="both"/>
      </w:pPr>
    </w:p>
    <w:p w14:paraId="40D2876A" w14:textId="5354810B" w:rsidR="00D55A57" w:rsidRDefault="00D55A57" w:rsidP="006A4517">
      <w:pPr>
        <w:ind w:left="1800" w:hanging="540"/>
        <w:jc w:val="both"/>
      </w:pPr>
      <w:r>
        <w:t>(3)</w:t>
      </w:r>
      <w:r>
        <w:tab/>
        <w:t>Ensur</w:t>
      </w:r>
      <w:r w:rsidR="006E6F3C">
        <w:t>ing</w:t>
      </w:r>
      <w:r>
        <w:t xml:space="preserve"> that all confidential information is erased from whiteboards/chalkboards, and flip charts</w:t>
      </w:r>
      <w:r w:rsidR="00A143DF">
        <w:t xml:space="preserve"> are covered</w:t>
      </w:r>
      <w:r w:rsidR="006E6F3C">
        <w:t>;</w:t>
      </w:r>
    </w:p>
    <w:p w14:paraId="67A1D761" w14:textId="77777777" w:rsidR="00D55A57" w:rsidRDefault="00D55A57" w:rsidP="006A4517">
      <w:pPr>
        <w:ind w:left="1800" w:hanging="540"/>
        <w:jc w:val="both"/>
      </w:pPr>
    </w:p>
    <w:p w14:paraId="46D09754" w14:textId="20232EBF" w:rsidR="00D55A57" w:rsidRDefault="00D55A57" w:rsidP="006A4517">
      <w:pPr>
        <w:ind w:left="1800" w:hanging="540"/>
        <w:jc w:val="both"/>
      </w:pPr>
      <w:r>
        <w:t>(4)</w:t>
      </w:r>
      <w:r>
        <w:tab/>
        <w:t>Ensur</w:t>
      </w:r>
      <w:r w:rsidR="006E6F3C">
        <w:t>ing that</w:t>
      </w:r>
      <w:r>
        <w:t xml:space="preserve"> confidential information</w:t>
      </w:r>
      <w:r w:rsidR="003350F5">
        <w:t xml:space="preserve"> is</w:t>
      </w:r>
      <w:r>
        <w:t xml:space="preserve"> kept </w:t>
      </w:r>
      <w:r w:rsidR="003350F5">
        <w:t xml:space="preserve">in a </w:t>
      </w:r>
      <w:r>
        <w:t>locked</w:t>
      </w:r>
      <w:r w:rsidR="003350F5">
        <w:t xml:space="preserve"> location</w:t>
      </w:r>
      <w:r>
        <w:t xml:space="preserve"> when not in use</w:t>
      </w:r>
      <w:r w:rsidR="006E6F3C">
        <w:t>;</w:t>
      </w:r>
    </w:p>
    <w:p w14:paraId="4B4A4B5B" w14:textId="77777777" w:rsidR="00D55A57" w:rsidRDefault="00D55A57" w:rsidP="006A4517">
      <w:pPr>
        <w:ind w:left="1800" w:hanging="540"/>
        <w:jc w:val="both"/>
      </w:pPr>
    </w:p>
    <w:p w14:paraId="7C39B3BA" w14:textId="24647BC4" w:rsidR="00D55A57" w:rsidRDefault="00D55A57" w:rsidP="006A4517">
      <w:pPr>
        <w:ind w:left="1800" w:hanging="540"/>
        <w:jc w:val="both"/>
      </w:pPr>
      <w:r>
        <w:t>(5)</w:t>
      </w:r>
      <w:r>
        <w:tab/>
        <w:t>Ensur</w:t>
      </w:r>
      <w:r w:rsidR="006E6F3C">
        <w:t>ing</w:t>
      </w:r>
      <w:r>
        <w:t xml:space="preserve"> that keys, </w:t>
      </w:r>
      <w:r w:rsidRPr="00A74448">
        <w:t>access cards</w:t>
      </w:r>
      <w:r>
        <w:t>, and smart cards</w:t>
      </w:r>
      <w:r w:rsidRPr="00A74448">
        <w:t xml:space="preserve"> used to access confidential</w:t>
      </w:r>
      <w:r>
        <w:t xml:space="preserve"> </w:t>
      </w:r>
      <w:r w:rsidRPr="00A74448">
        <w:t>information are not left unattended</w:t>
      </w:r>
      <w:r w:rsidR="006E6F3C">
        <w:t>; and</w:t>
      </w:r>
    </w:p>
    <w:p w14:paraId="4CB0E653" w14:textId="77777777" w:rsidR="00D55A57" w:rsidRDefault="00D55A57" w:rsidP="006A4517">
      <w:pPr>
        <w:ind w:left="1800" w:hanging="540"/>
        <w:jc w:val="both"/>
      </w:pPr>
    </w:p>
    <w:p w14:paraId="3980CC74" w14:textId="4216679F" w:rsidR="00D55A57" w:rsidRPr="00880B1A" w:rsidRDefault="00D55A57" w:rsidP="006A4517">
      <w:pPr>
        <w:ind w:left="1800" w:hanging="540"/>
        <w:jc w:val="both"/>
      </w:pPr>
      <w:r w:rsidRPr="002122AF">
        <w:t>(6)</w:t>
      </w:r>
      <w:r w:rsidRPr="002122AF">
        <w:tab/>
      </w:r>
      <w:r w:rsidR="006E6F3C" w:rsidRPr="002122AF">
        <w:t>N</w:t>
      </w:r>
      <w:r w:rsidRPr="002122AF">
        <w:t>ot stor</w:t>
      </w:r>
      <w:r w:rsidR="006E6F3C" w:rsidRPr="002122AF">
        <w:t>ing</w:t>
      </w:r>
      <w:r w:rsidRPr="002122AF">
        <w:t xml:space="preserve"> passwords near computers.</w:t>
      </w:r>
      <w:r w:rsidRPr="00880B1A">
        <w:t xml:space="preserve"> </w:t>
      </w:r>
    </w:p>
    <w:p w14:paraId="10E1A457" w14:textId="77777777" w:rsidR="00D55A57" w:rsidRPr="00880B1A" w:rsidRDefault="00D55A57" w:rsidP="002122AF">
      <w:pPr>
        <w:jc w:val="both"/>
      </w:pPr>
    </w:p>
    <w:p w14:paraId="3B6A483E" w14:textId="45ACB319" w:rsidR="00D55A57" w:rsidRPr="002122AF" w:rsidRDefault="00D55A57" w:rsidP="006A4517">
      <w:pPr>
        <w:ind w:left="1260" w:hanging="540"/>
        <w:jc w:val="both"/>
      </w:pPr>
      <w:r w:rsidRPr="00880B1A">
        <w:t>(</w:t>
      </w:r>
      <w:r w:rsidR="002F3A79">
        <w:t>C</w:t>
      </w:r>
      <w:r w:rsidRPr="00880B1A">
        <w:t>)</w:t>
      </w:r>
      <w:r w:rsidRPr="00880B1A">
        <w:tab/>
      </w:r>
      <w:r w:rsidR="006E6F3C" w:rsidRPr="00880B1A">
        <w:t xml:space="preserve">All DHS employees and contractors are required to </w:t>
      </w:r>
      <w:r w:rsidR="006E6F3C" w:rsidRPr="002122AF">
        <w:t>l</w:t>
      </w:r>
      <w:r w:rsidRPr="002122AF">
        <w:t xml:space="preserve">ock computer terminals when leaving </w:t>
      </w:r>
      <w:r w:rsidR="006E6F3C" w:rsidRPr="002122AF">
        <w:t xml:space="preserve">their </w:t>
      </w:r>
      <w:r w:rsidRPr="002122AF">
        <w:t>workstation</w:t>
      </w:r>
      <w:r w:rsidR="006E6F3C" w:rsidRPr="002122AF">
        <w:t>s</w:t>
      </w:r>
      <w:r w:rsidRPr="002122AF">
        <w:t xml:space="preserve">, if even for a brief period.  </w:t>
      </w:r>
    </w:p>
    <w:p w14:paraId="7762338F" w14:textId="77777777" w:rsidR="00D55A57" w:rsidRPr="002122AF" w:rsidRDefault="00D55A57" w:rsidP="006A4517">
      <w:pPr>
        <w:ind w:left="1260" w:hanging="540"/>
        <w:jc w:val="both"/>
      </w:pPr>
    </w:p>
    <w:p w14:paraId="0D60E844" w14:textId="7688F8BC" w:rsidR="00D55A57" w:rsidRPr="002122AF" w:rsidRDefault="00D55A57" w:rsidP="006A4517">
      <w:pPr>
        <w:ind w:left="1260" w:hanging="540"/>
        <w:jc w:val="both"/>
      </w:pPr>
      <w:r w:rsidRPr="002122AF">
        <w:lastRenderedPageBreak/>
        <w:t>(</w:t>
      </w:r>
      <w:r w:rsidR="002F3A79">
        <w:t>D</w:t>
      </w:r>
      <w:r w:rsidRPr="002122AF">
        <w:t>)</w:t>
      </w:r>
      <w:r w:rsidRPr="002122AF">
        <w:tab/>
        <w:t>Authorized DHS wireless device users should keep devices</w:t>
      </w:r>
      <w:r w:rsidR="007D53D2">
        <w:t xml:space="preserve"> under users control and in a secure location</w:t>
      </w:r>
      <w:r w:rsidRPr="002122AF">
        <w:t xml:space="preserve"> when not in use and </w:t>
      </w:r>
      <w:r w:rsidR="006E6F3C" w:rsidRPr="002122AF">
        <w:t>be</w:t>
      </w:r>
      <w:r w:rsidRPr="002122AF">
        <w:t xml:space="preserve"> passcode lock</w:t>
      </w:r>
      <w:r w:rsidR="006E6F3C" w:rsidRPr="002122AF">
        <w:t>ed</w:t>
      </w:r>
      <w:r w:rsidRPr="002122AF">
        <w:t xml:space="preserve"> (</w:t>
      </w:r>
      <w:r w:rsidR="006E6F3C" w:rsidRPr="002122AF">
        <w:t>a</w:t>
      </w:r>
      <w:r w:rsidRPr="002122AF">
        <w:t xml:space="preserve">lso </w:t>
      </w:r>
      <w:r w:rsidR="006E6F3C" w:rsidRPr="002122AF">
        <w:t xml:space="preserve">follow </w:t>
      </w:r>
      <w:r w:rsidRPr="002122AF">
        <w:t>DHS Policy 1074)</w:t>
      </w:r>
      <w:r w:rsidR="006E6F3C" w:rsidRPr="002122AF">
        <w:t>.</w:t>
      </w:r>
    </w:p>
    <w:p w14:paraId="59BB4128" w14:textId="5F7C9D72" w:rsidR="00D55A57" w:rsidRPr="002122AF" w:rsidRDefault="00D55A57" w:rsidP="006A4517">
      <w:pPr>
        <w:ind w:left="1260"/>
        <w:jc w:val="both"/>
      </w:pPr>
    </w:p>
    <w:p w14:paraId="7F45B31B" w14:textId="4B3272DC" w:rsidR="00D55A57" w:rsidRDefault="002F3A79" w:rsidP="006A4517">
      <w:pPr>
        <w:ind w:left="1260" w:hanging="540"/>
        <w:jc w:val="both"/>
      </w:pPr>
      <w:r>
        <w:t>(E)</w:t>
      </w:r>
      <w:r>
        <w:tab/>
      </w:r>
      <w:r w:rsidR="00D55A57" w:rsidRPr="00A74448">
        <w:t>Immediately remove documents containing confidential information from printers, copiers, and fax machines.</w:t>
      </w:r>
    </w:p>
    <w:p w14:paraId="2FF51F3A" w14:textId="77777777" w:rsidR="00D55A57" w:rsidRPr="00A74448" w:rsidRDefault="00D55A57" w:rsidP="006A4517">
      <w:pPr>
        <w:ind w:left="1260"/>
        <w:jc w:val="both"/>
      </w:pPr>
    </w:p>
    <w:p w14:paraId="69BBB6D4" w14:textId="1C20578F" w:rsidR="00D55A57" w:rsidRPr="00A74448" w:rsidRDefault="00D55A57" w:rsidP="006A4517">
      <w:pPr>
        <w:pStyle w:val="ListParagraph"/>
        <w:numPr>
          <w:ilvl w:val="0"/>
          <w:numId w:val="11"/>
        </w:numPr>
        <w:ind w:left="1260" w:hanging="540"/>
        <w:jc w:val="both"/>
      </w:pPr>
      <w:r w:rsidRPr="00A74448">
        <w:t xml:space="preserve">Use only the locked shred bins for confidential documents when they are no longer </w:t>
      </w:r>
      <w:r>
        <w:t>needed</w:t>
      </w:r>
      <w:r w:rsidRPr="00A74448">
        <w:t>. Do not use the recycling bins to dispose of documents that contain</w:t>
      </w:r>
      <w:r w:rsidR="002F3A79">
        <w:t xml:space="preserve"> </w:t>
      </w:r>
      <w:r>
        <w:t xml:space="preserve">confidential information. </w:t>
      </w:r>
      <w:r w:rsidRPr="00A74448">
        <w:t xml:space="preserve">All </w:t>
      </w:r>
      <w:r>
        <w:t>documents containing confidential information must be destroyed in compliance with the</w:t>
      </w:r>
      <w:r w:rsidRPr="00BD18E0">
        <w:t xml:space="preserve"> “IT Data Destruc</w:t>
      </w:r>
      <w:r>
        <w:t>tion and End of Life Procedures</w:t>
      </w:r>
      <w:r w:rsidRPr="00BD18E0">
        <w:t>”</w:t>
      </w:r>
      <w:r>
        <w:t xml:space="preserve"> (APM 129).</w:t>
      </w:r>
    </w:p>
    <w:p w14:paraId="4AF0CAB3" w14:textId="77777777" w:rsidR="00D55A57" w:rsidRPr="00A74448" w:rsidRDefault="00D55A57" w:rsidP="002122AF">
      <w:pPr>
        <w:jc w:val="both"/>
      </w:pPr>
    </w:p>
    <w:p w14:paraId="129D0B46" w14:textId="66FDFDF6" w:rsidR="00D55A57" w:rsidRPr="00A74448" w:rsidRDefault="00D55A57" w:rsidP="006A4517">
      <w:pPr>
        <w:pStyle w:val="ListParagraph"/>
        <w:numPr>
          <w:ilvl w:val="0"/>
          <w:numId w:val="11"/>
        </w:numPr>
        <w:ind w:left="1260" w:hanging="540"/>
        <w:jc w:val="both"/>
      </w:pPr>
      <w:r w:rsidRPr="00A74448">
        <w:t xml:space="preserve">All </w:t>
      </w:r>
      <w:r w:rsidR="0064434D">
        <w:t>confidential information</w:t>
      </w:r>
      <w:r>
        <w:t xml:space="preserve"> must be destroyed in compliance with the</w:t>
      </w:r>
      <w:r w:rsidRPr="00BD18E0">
        <w:t xml:space="preserve"> “IT Data Destruc</w:t>
      </w:r>
      <w:r>
        <w:t>tion and End of Life Procedures</w:t>
      </w:r>
      <w:r w:rsidRPr="00BD18E0">
        <w:t>”</w:t>
      </w:r>
      <w:r>
        <w:t xml:space="preserve"> (APM 129).</w:t>
      </w:r>
      <w:r w:rsidRPr="00A74448">
        <w:t xml:space="preserve"> </w:t>
      </w:r>
    </w:p>
    <w:p w14:paraId="2DC64988" w14:textId="77777777" w:rsidR="00D55A57" w:rsidRDefault="00D55A57" w:rsidP="006A4517">
      <w:pPr>
        <w:pStyle w:val="ListParagraph"/>
        <w:jc w:val="both"/>
      </w:pPr>
    </w:p>
    <w:p w14:paraId="2AFFBCBA" w14:textId="7120A475" w:rsidR="00D55A57" w:rsidRDefault="00D55A57" w:rsidP="006A4517">
      <w:pPr>
        <w:pStyle w:val="ListParagraph"/>
        <w:numPr>
          <w:ilvl w:val="0"/>
          <w:numId w:val="1"/>
        </w:numPr>
        <w:ind w:left="720"/>
        <w:jc w:val="both"/>
      </w:pPr>
      <w:r>
        <w:t>Identification Badges and Proximity Cards</w:t>
      </w:r>
    </w:p>
    <w:p w14:paraId="2FF7E8A3" w14:textId="77777777" w:rsidR="00D55A57" w:rsidRDefault="00D55A57" w:rsidP="006A4517">
      <w:pPr>
        <w:ind w:left="720"/>
        <w:jc w:val="both"/>
      </w:pPr>
    </w:p>
    <w:p w14:paraId="54A4907A" w14:textId="539A56D0" w:rsidR="00D55A57" w:rsidRDefault="00D55A57" w:rsidP="006A4517">
      <w:pPr>
        <w:pStyle w:val="ListParagraph"/>
        <w:numPr>
          <w:ilvl w:val="0"/>
          <w:numId w:val="12"/>
        </w:numPr>
        <w:spacing w:after="200"/>
        <w:ind w:left="1260" w:hanging="540"/>
        <w:contextualSpacing/>
        <w:jc w:val="both"/>
      </w:pPr>
      <w:r>
        <w:t xml:space="preserve">DHS employees must present a valid ID badge to obtain access to DHS facilities and </w:t>
      </w:r>
      <w:proofErr w:type="gramStart"/>
      <w:r>
        <w:t>must wear their badge at all times</w:t>
      </w:r>
      <w:proofErr w:type="gramEnd"/>
      <w:r>
        <w:t xml:space="preserve"> while in a DHS facility. </w:t>
      </w:r>
      <w:r w:rsidR="00AD4547">
        <w:t xml:space="preserve">Report violations to the Office of Security and Compliance (OSC) and then </w:t>
      </w:r>
      <w:r>
        <w:t>report</w:t>
      </w:r>
      <w:r w:rsidR="00AD4547">
        <w:t xml:space="preserve"> it</w:t>
      </w:r>
      <w:r>
        <w:t xml:space="preserve"> as a security incident using the Incident Reporting System on DHS Share.  </w:t>
      </w:r>
    </w:p>
    <w:p w14:paraId="48477B4D" w14:textId="77777777" w:rsidR="00D55A57" w:rsidRDefault="00D55A57" w:rsidP="006A4517">
      <w:pPr>
        <w:pStyle w:val="ListParagraph"/>
        <w:ind w:left="1260" w:hanging="540"/>
        <w:jc w:val="both"/>
      </w:pPr>
    </w:p>
    <w:p w14:paraId="795210C9" w14:textId="1F08F426" w:rsidR="00D55A57" w:rsidRDefault="00D55A57" w:rsidP="006A4517">
      <w:pPr>
        <w:pStyle w:val="ListParagraph"/>
        <w:numPr>
          <w:ilvl w:val="0"/>
          <w:numId w:val="12"/>
        </w:numPr>
        <w:spacing w:after="200"/>
        <w:ind w:left="1260" w:hanging="540"/>
        <w:contextualSpacing/>
        <w:jc w:val="both"/>
      </w:pPr>
      <w:r>
        <w:t xml:space="preserve">All new employees must obtain a badge as soon as possible but no later than </w:t>
      </w:r>
      <w:r w:rsidR="00253461">
        <w:t xml:space="preserve">one </w:t>
      </w:r>
      <w:r>
        <w:t>(</w:t>
      </w:r>
      <w:r w:rsidR="00253461">
        <w:t>1</w:t>
      </w:r>
      <w:r>
        <w:t xml:space="preserve">) week </w:t>
      </w:r>
      <w:r w:rsidR="00F5427F">
        <w:t>after</w:t>
      </w:r>
      <w:r>
        <w:t xml:space="preserve"> the date of hire. It is the supervisor’s responsibility to ensure a new employee gets an ID badge.</w:t>
      </w:r>
    </w:p>
    <w:p w14:paraId="5C5AEABA" w14:textId="77777777" w:rsidR="000A4E8B" w:rsidRDefault="000A4E8B" w:rsidP="006A4517">
      <w:pPr>
        <w:pStyle w:val="ListParagraph"/>
        <w:spacing w:after="200"/>
        <w:ind w:left="1260" w:hanging="540"/>
        <w:contextualSpacing/>
        <w:jc w:val="both"/>
      </w:pPr>
    </w:p>
    <w:p w14:paraId="26EBB737" w14:textId="3230771F" w:rsidR="000A4E8B" w:rsidRDefault="000A4E8B" w:rsidP="006A4517">
      <w:pPr>
        <w:pStyle w:val="ListParagraph"/>
        <w:numPr>
          <w:ilvl w:val="0"/>
          <w:numId w:val="12"/>
        </w:numPr>
        <w:ind w:left="1260" w:hanging="540"/>
        <w:jc w:val="both"/>
      </w:pPr>
      <w:bookmarkStart w:id="2" w:name="_Hlk18400158"/>
      <w:r>
        <w:t xml:space="preserve">Employees </w:t>
      </w:r>
      <w:r w:rsidR="00253461">
        <w:t>can only change their profile picture through</w:t>
      </w:r>
      <w:r>
        <w:t xml:space="preserve"> the DHS </w:t>
      </w:r>
      <w:r w:rsidR="005109D6">
        <w:t>Office of Information Technology (OIT)</w:t>
      </w:r>
      <w:r>
        <w:t xml:space="preserve">. The photographs used for DHS badges also serve as the </w:t>
      </w:r>
      <w:r w:rsidR="009E0862">
        <w:t xml:space="preserve">DHS internet </w:t>
      </w:r>
      <w:r>
        <w:t>profile photograph</w:t>
      </w:r>
      <w:r w:rsidR="00907931">
        <w:t xml:space="preserve"> used for</w:t>
      </w:r>
      <w:r>
        <w:t xml:space="preserve"> DHS </w:t>
      </w:r>
      <w:r w:rsidR="00907931">
        <w:t>s</w:t>
      </w:r>
      <w:r>
        <w:t xml:space="preserve">ecurity. The photograph on the badge is the individual’s official DHS photo and </w:t>
      </w:r>
      <w:proofErr w:type="gramStart"/>
      <w:r>
        <w:t>should match the profile photograph at all times</w:t>
      </w:r>
      <w:proofErr w:type="gramEnd"/>
      <w:r>
        <w:t xml:space="preserve">. </w:t>
      </w:r>
    </w:p>
    <w:bookmarkEnd w:id="2"/>
    <w:p w14:paraId="3BE0840F" w14:textId="77777777" w:rsidR="000A4E8B" w:rsidRDefault="000A4E8B" w:rsidP="006A4517">
      <w:pPr>
        <w:pStyle w:val="ListParagraph"/>
        <w:spacing w:after="200"/>
        <w:ind w:left="1260"/>
        <w:contextualSpacing/>
        <w:jc w:val="both"/>
      </w:pPr>
    </w:p>
    <w:p w14:paraId="2F370D70" w14:textId="0856B4DC" w:rsidR="00D55A57" w:rsidRDefault="00D55A57" w:rsidP="006A4517">
      <w:pPr>
        <w:pStyle w:val="ListParagraph"/>
        <w:numPr>
          <w:ilvl w:val="0"/>
          <w:numId w:val="12"/>
        </w:numPr>
        <w:ind w:left="1260" w:hanging="540"/>
        <w:contextualSpacing/>
        <w:jc w:val="both"/>
      </w:pPr>
      <w:r>
        <w:t>ID badges and proximity cards are the property of DHS. Employees are responsible for protecting badges against unauthorized use and must return them in good condition.</w:t>
      </w:r>
    </w:p>
    <w:p w14:paraId="6E0B614B" w14:textId="77777777" w:rsidR="00D55A57" w:rsidRDefault="00D55A57" w:rsidP="006A4517">
      <w:pPr>
        <w:pStyle w:val="ListParagraph"/>
        <w:ind w:left="1260" w:hanging="540"/>
        <w:contextualSpacing/>
        <w:jc w:val="both"/>
      </w:pPr>
    </w:p>
    <w:p w14:paraId="45A071C2" w14:textId="77777777" w:rsidR="00D55A57" w:rsidRDefault="00D55A57" w:rsidP="006A4517">
      <w:pPr>
        <w:pStyle w:val="ListParagraph"/>
        <w:numPr>
          <w:ilvl w:val="0"/>
          <w:numId w:val="12"/>
        </w:numPr>
        <w:spacing w:after="200"/>
        <w:ind w:left="1260" w:hanging="540"/>
        <w:contextualSpacing/>
        <w:jc w:val="both"/>
      </w:pPr>
      <w:r>
        <w:t xml:space="preserve">Lost or stolen badges or proximity cards must be reported on the Incident Reporting System (on DHS Share) as soon as possible after the loss or theft is discovered.  </w:t>
      </w:r>
    </w:p>
    <w:p w14:paraId="3738EE87" w14:textId="77777777" w:rsidR="00D55A57" w:rsidRDefault="00D55A57" w:rsidP="006A4517">
      <w:pPr>
        <w:pStyle w:val="ListParagraph"/>
        <w:jc w:val="both"/>
      </w:pPr>
    </w:p>
    <w:p w14:paraId="1E237CB9" w14:textId="792F9138" w:rsidR="00D55A57" w:rsidRDefault="00D55A57" w:rsidP="006A4517">
      <w:pPr>
        <w:pStyle w:val="ListParagraph"/>
        <w:numPr>
          <w:ilvl w:val="0"/>
          <w:numId w:val="1"/>
        </w:numPr>
        <w:ind w:left="720"/>
        <w:jc w:val="both"/>
      </w:pPr>
      <w:r>
        <w:t>Visitors to DHS Facilities</w:t>
      </w:r>
    </w:p>
    <w:p w14:paraId="52748A37" w14:textId="77777777" w:rsidR="00D55A57" w:rsidRDefault="00D55A57" w:rsidP="006A4517">
      <w:pPr>
        <w:ind w:left="720"/>
        <w:jc w:val="both"/>
      </w:pPr>
    </w:p>
    <w:p w14:paraId="5BE744FC" w14:textId="75D33FEA" w:rsidR="00D55A57" w:rsidRDefault="00D55A57" w:rsidP="006A4517">
      <w:pPr>
        <w:ind w:left="1260" w:hanging="540"/>
        <w:jc w:val="both"/>
      </w:pPr>
      <w:r>
        <w:t>(</w:t>
      </w:r>
      <w:r w:rsidR="002F3A79">
        <w:t>A</w:t>
      </w:r>
      <w:r>
        <w:t>)</w:t>
      </w:r>
      <w:r>
        <w:tab/>
        <w:t xml:space="preserve">All visitors to DHS facilities </w:t>
      </w:r>
      <w:proofErr w:type="gramStart"/>
      <w:r>
        <w:t>must be accompanied by an employee at all times</w:t>
      </w:r>
      <w:proofErr w:type="gramEnd"/>
      <w:r>
        <w:t xml:space="preserve"> in areas where confidential </w:t>
      </w:r>
      <w:r w:rsidR="009E764F">
        <w:t>information</w:t>
      </w:r>
      <w:r>
        <w:t xml:space="preserve"> or where DHS information systems are present. </w:t>
      </w:r>
    </w:p>
    <w:p w14:paraId="524E4BB1" w14:textId="77777777" w:rsidR="00D55A57" w:rsidRDefault="00D55A57" w:rsidP="006A4517">
      <w:pPr>
        <w:ind w:left="1260" w:hanging="540"/>
        <w:jc w:val="both"/>
      </w:pPr>
    </w:p>
    <w:p w14:paraId="20BA9E78" w14:textId="4447DB99" w:rsidR="00D55A57" w:rsidRDefault="00D55A57" w:rsidP="006A4517">
      <w:pPr>
        <w:ind w:left="1260" w:hanging="540"/>
        <w:jc w:val="both"/>
      </w:pPr>
      <w:r>
        <w:t>(</w:t>
      </w:r>
      <w:r w:rsidR="002F3A79">
        <w:t>B</w:t>
      </w:r>
      <w:r>
        <w:t>)</w:t>
      </w:r>
      <w:r>
        <w:tab/>
        <w:t xml:space="preserve">Visitors must comply with ID badge requirements pertaining to the specific DHS location being visited.  </w:t>
      </w:r>
    </w:p>
    <w:p w14:paraId="325E1AEA" w14:textId="77777777" w:rsidR="00D55A57" w:rsidRDefault="00D55A57" w:rsidP="006A4517">
      <w:pPr>
        <w:ind w:left="1260" w:hanging="540"/>
        <w:jc w:val="both"/>
      </w:pPr>
    </w:p>
    <w:p w14:paraId="5F3B5B1F" w14:textId="529297FF" w:rsidR="00D55A57" w:rsidRDefault="00D55A57" w:rsidP="006A4517">
      <w:pPr>
        <w:ind w:left="1260" w:hanging="540"/>
        <w:jc w:val="both"/>
      </w:pPr>
      <w:r>
        <w:t>(</w:t>
      </w:r>
      <w:r w:rsidR="002F3A79">
        <w:t>C</w:t>
      </w:r>
      <w:r>
        <w:t>)</w:t>
      </w:r>
      <w:r>
        <w:tab/>
        <w:t xml:space="preserve">Visitor badges are issued only for a specific event, meeting, or day. </w:t>
      </w:r>
    </w:p>
    <w:p w14:paraId="0323A57B" w14:textId="77777777" w:rsidR="00D55A57" w:rsidRDefault="00D55A57" w:rsidP="006A4517">
      <w:pPr>
        <w:ind w:left="1260" w:hanging="540"/>
        <w:jc w:val="both"/>
      </w:pPr>
    </w:p>
    <w:p w14:paraId="099024C5" w14:textId="5CDDE4E1" w:rsidR="00D55A57" w:rsidRDefault="00D55A57" w:rsidP="006A4517">
      <w:pPr>
        <w:ind w:left="1260" w:hanging="540"/>
        <w:jc w:val="both"/>
      </w:pPr>
      <w:r>
        <w:t>(</w:t>
      </w:r>
      <w:r w:rsidR="002F3A79">
        <w:t>D</w:t>
      </w:r>
      <w:r>
        <w:t>)</w:t>
      </w:r>
      <w:r>
        <w:tab/>
        <w:t>Division Directors</w:t>
      </w:r>
      <w:r w:rsidR="005109D6">
        <w:t>, Office Chiefs,</w:t>
      </w:r>
      <w:r>
        <w:t xml:space="preserve"> or their designees may specify areas where business visitors may work unaccompanied.</w:t>
      </w:r>
    </w:p>
    <w:p w14:paraId="79DF5F2D" w14:textId="77777777" w:rsidR="00D55A57" w:rsidRDefault="00D55A57" w:rsidP="006A4517">
      <w:pPr>
        <w:ind w:left="720"/>
        <w:jc w:val="both"/>
      </w:pPr>
    </w:p>
    <w:p w14:paraId="0953285E" w14:textId="77777777" w:rsidR="00D55A57" w:rsidRPr="00153AD6" w:rsidRDefault="00D55A57" w:rsidP="006A4517">
      <w:pPr>
        <w:numPr>
          <w:ilvl w:val="0"/>
          <w:numId w:val="1"/>
        </w:numPr>
        <w:ind w:left="720"/>
        <w:jc w:val="both"/>
      </w:pPr>
      <w:r>
        <w:t>Failure to Comply</w:t>
      </w:r>
    </w:p>
    <w:p w14:paraId="56405F69" w14:textId="77777777" w:rsidR="00D55A57" w:rsidRPr="00A74448" w:rsidRDefault="00D55A57" w:rsidP="006A4517">
      <w:pPr>
        <w:jc w:val="both"/>
      </w:pPr>
    </w:p>
    <w:p w14:paraId="7E9920FF" w14:textId="47A2845F" w:rsidR="00D55A57" w:rsidRPr="00A74448" w:rsidRDefault="00D55A57" w:rsidP="006A4517">
      <w:pPr>
        <w:ind w:left="720"/>
        <w:jc w:val="both"/>
      </w:pPr>
      <w:r w:rsidRPr="00A74448">
        <w:t>Failure to comply with this policy can result in restriction or suspension of all network access to DHS Information Systems,</w:t>
      </w:r>
      <w:r>
        <w:t xml:space="preserve"> </w:t>
      </w:r>
      <w:r w:rsidRPr="00A74448">
        <w:t>deactivation of network attached devices, civil and criminal penalties, and</w:t>
      </w:r>
      <w:r>
        <w:t xml:space="preserve"> </w:t>
      </w:r>
      <w:r w:rsidRPr="00A74448">
        <w:t xml:space="preserve">contractual penalties. In addition, </w:t>
      </w:r>
      <w:r>
        <w:t>DHS</w:t>
      </w:r>
      <w:r w:rsidRPr="00A74448">
        <w:t xml:space="preserve"> employees are</w:t>
      </w:r>
      <w:r>
        <w:t xml:space="preserve"> </w:t>
      </w:r>
      <w:r w:rsidRPr="00A74448">
        <w:t>subject to disciplinary action</w:t>
      </w:r>
      <w:r>
        <w:t xml:space="preserve"> outlined</w:t>
      </w:r>
      <w:r w:rsidRPr="00A74448">
        <w:t xml:space="preserve"> in </w:t>
      </w:r>
      <w:r>
        <w:t xml:space="preserve">DHS </w:t>
      </w:r>
      <w:r w:rsidRPr="00A74448">
        <w:t xml:space="preserve">Policy </w:t>
      </w:r>
      <w:r>
        <w:t xml:space="preserve">4002, “Privacy and Security </w:t>
      </w:r>
      <w:r w:rsidRPr="00A74448">
        <w:t>Sanctions</w:t>
      </w:r>
      <w:r>
        <w:t>” and DHS Policy 1084, “Employee Discipline.”</w:t>
      </w:r>
    </w:p>
    <w:p w14:paraId="5393DF61" w14:textId="77777777" w:rsidR="00D55A57" w:rsidRPr="00920902" w:rsidRDefault="00D55A57" w:rsidP="006A4517">
      <w:pPr>
        <w:pStyle w:val="ListParagraph"/>
        <w:ind w:left="1440"/>
        <w:jc w:val="both"/>
      </w:pPr>
    </w:p>
    <w:p w14:paraId="7D2887C1" w14:textId="77777777" w:rsidR="003B76BD" w:rsidRDefault="003B76BD" w:rsidP="006A4517">
      <w:pPr>
        <w:ind w:left="1260" w:hanging="540"/>
        <w:jc w:val="both"/>
      </w:pPr>
    </w:p>
    <w:sectPr w:rsidR="003B76BD" w:rsidSect="00F102DF">
      <w:headerReference w:type="default" r:id="rId10"/>
      <w:footerReference w:type="even" r:id="rId11"/>
      <w:footerReference w:type="default" r:id="rId12"/>
      <w:pgSz w:w="12240" w:h="15840"/>
      <w:pgMar w:top="1170" w:right="1440" w:bottom="1350" w:left="1350" w:header="720" w:footer="5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0282" w14:textId="77777777" w:rsidR="00421030" w:rsidRDefault="00421030">
      <w:r>
        <w:separator/>
      </w:r>
    </w:p>
  </w:endnote>
  <w:endnote w:type="continuationSeparator" w:id="0">
    <w:p w14:paraId="1F3DC03D" w14:textId="77777777" w:rsidR="00421030" w:rsidRDefault="0042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49E0" w14:textId="77777777" w:rsidR="00A0476E" w:rsidRPr="00A0476E" w:rsidRDefault="00D55A57" w:rsidP="00A0476E">
    <w:pPr>
      <w:pStyle w:val="Footer"/>
    </w:pPr>
    <w:r w:rsidRPr="00A0476E">
      <w:t>Effective Date:  DRAFT 07.23.2013</w:t>
    </w:r>
    <w:r w:rsidRPr="00A0476E">
      <w:tab/>
    </w:r>
    <w:r w:rsidRPr="00A0476E">
      <w:tab/>
      <w:t xml:space="preserve">Page 1 </w:t>
    </w:r>
    <w:proofErr w:type="gramStart"/>
    <w:r w:rsidRPr="00A0476E">
      <w:t xml:space="preserve">of  </w:t>
    </w:r>
    <w:r>
      <w:t>2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3423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8B46F4" w14:textId="1C0A0FD1" w:rsidR="009C6A59" w:rsidRDefault="00D55A57" w:rsidP="002C4F80">
            <w:pPr>
              <w:pStyle w:val="Footer"/>
              <w:tabs>
                <w:tab w:val="clear" w:pos="4320"/>
                <w:tab w:val="center" w:pos="450"/>
              </w:tabs>
            </w:pPr>
            <w:r w:rsidRPr="002C4F80">
              <w:rPr>
                <w:b/>
              </w:rPr>
              <w:t>Effective Date:</w:t>
            </w:r>
            <w:r>
              <w:t xml:space="preserve">  </w:t>
            </w:r>
            <w:r w:rsidR="002122AF">
              <w:t>September 3, 2019</w:t>
            </w:r>
            <w:r>
              <w:tab/>
              <w:t xml:space="preserve"> </w:t>
            </w:r>
            <w:r w:rsidRPr="002C4F80">
              <w:rPr>
                <w:b/>
              </w:rPr>
              <w:t xml:space="preserve">Page </w:t>
            </w:r>
            <w:r w:rsidRPr="002C4F80">
              <w:rPr>
                <w:b/>
                <w:bCs/>
              </w:rPr>
              <w:fldChar w:fldCharType="begin"/>
            </w:r>
            <w:r w:rsidRPr="002C4F80">
              <w:rPr>
                <w:b/>
                <w:bCs/>
              </w:rPr>
              <w:instrText xml:space="preserve"> PAGE </w:instrText>
            </w:r>
            <w:r w:rsidRPr="002C4F80">
              <w:rPr>
                <w:b/>
                <w:bCs/>
              </w:rPr>
              <w:fldChar w:fldCharType="separate"/>
            </w:r>
            <w:r w:rsidR="004B13E9">
              <w:rPr>
                <w:b/>
                <w:bCs/>
                <w:noProof/>
              </w:rPr>
              <w:t>1</w:t>
            </w:r>
            <w:r w:rsidRPr="002C4F80">
              <w:rPr>
                <w:b/>
                <w:bCs/>
              </w:rPr>
              <w:fldChar w:fldCharType="end"/>
            </w:r>
            <w:r w:rsidRPr="002C4F80">
              <w:rPr>
                <w:b/>
              </w:rPr>
              <w:t xml:space="preserve"> of </w:t>
            </w:r>
            <w:r w:rsidRPr="002C4F80">
              <w:rPr>
                <w:b/>
                <w:bCs/>
              </w:rPr>
              <w:fldChar w:fldCharType="begin"/>
            </w:r>
            <w:r w:rsidRPr="002C4F80">
              <w:rPr>
                <w:b/>
                <w:bCs/>
              </w:rPr>
              <w:instrText xml:space="preserve"> NUMPAGES  </w:instrText>
            </w:r>
            <w:r w:rsidRPr="002C4F80">
              <w:rPr>
                <w:b/>
                <w:bCs/>
              </w:rPr>
              <w:fldChar w:fldCharType="separate"/>
            </w:r>
            <w:r w:rsidR="004B13E9">
              <w:rPr>
                <w:b/>
                <w:bCs/>
                <w:noProof/>
              </w:rPr>
              <w:t>3</w:t>
            </w:r>
            <w:r w:rsidRPr="002C4F80">
              <w:rPr>
                <w:b/>
                <w:bCs/>
              </w:rPr>
              <w:fldChar w:fldCharType="end"/>
            </w:r>
          </w:p>
        </w:sdtContent>
      </w:sdt>
    </w:sdtContent>
  </w:sdt>
  <w:p w14:paraId="032DC42E" w14:textId="77777777" w:rsidR="002C4F80" w:rsidRDefault="00985C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5716" w14:textId="77777777" w:rsidR="00421030" w:rsidRDefault="00421030">
      <w:r>
        <w:separator/>
      </w:r>
    </w:p>
  </w:footnote>
  <w:footnote w:type="continuationSeparator" w:id="0">
    <w:p w14:paraId="585BD632" w14:textId="77777777" w:rsidR="00421030" w:rsidRDefault="0042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86CE" w14:textId="77777777" w:rsidR="00A67376" w:rsidRPr="00D41964" w:rsidRDefault="00D55A57">
    <w:pPr>
      <w:pStyle w:val="Header"/>
      <w:rPr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B52"/>
    <w:multiLevelType w:val="hybridMultilevel"/>
    <w:tmpl w:val="A2D0A394"/>
    <w:lvl w:ilvl="0" w:tplc="4816DC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32D21"/>
    <w:multiLevelType w:val="hybridMultilevel"/>
    <w:tmpl w:val="29948FA2"/>
    <w:lvl w:ilvl="0" w:tplc="05E8F808">
      <w:start w:val="1"/>
      <w:numFmt w:val="lowerLetter"/>
      <w:lvlText w:val="(%1)"/>
      <w:lvlJc w:val="left"/>
      <w:pPr>
        <w:ind w:left="63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F57E1"/>
    <w:multiLevelType w:val="hybridMultilevel"/>
    <w:tmpl w:val="F2A66520"/>
    <w:lvl w:ilvl="0" w:tplc="E1E820AC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40E0EC2"/>
    <w:multiLevelType w:val="hybridMultilevel"/>
    <w:tmpl w:val="D284C7EE"/>
    <w:lvl w:ilvl="0" w:tplc="CA1C435E">
      <w:start w:val="6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49673C8"/>
    <w:multiLevelType w:val="hybridMultilevel"/>
    <w:tmpl w:val="0E48611E"/>
    <w:lvl w:ilvl="0" w:tplc="38325C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17629"/>
    <w:multiLevelType w:val="hybridMultilevel"/>
    <w:tmpl w:val="BD6C830A"/>
    <w:lvl w:ilvl="0" w:tplc="DBDAD9DE">
      <w:start w:val="5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65FD1"/>
    <w:multiLevelType w:val="hybridMultilevel"/>
    <w:tmpl w:val="36F24F40"/>
    <w:lvl w:ilvl="0" w:tplc="27485B8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080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4D3026"/>
    <w:multiLevelType w:val="hybridMultilevel"/>
    <w:tmpl w:val="3E2475CA"/>
    <w:lvl w:ilvl="0" w:tplc="E6B68C1A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B353F7D"/>
    <w:multiLevelType w:val="hybridMultilevel"/>
    <w:tmpl w:val="CFD0DA76"/>
    <w:lvl w:ilvl="0" w:tplc="BBF66FFE">
      <w:start w:val="1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114DC"/>
    <w:multiLevelType w:val="hybridMultilevel"/>
    <w:tmpl w:val="F918BA8A"/>
    <w:lvl w:ilvl="0" w:tplc="CB921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C06757"/>
    <w:multiLevelType w:val="hybridMultilevel"/>
    <w:tmpl w:val="A53671EA"/>
    <w:lvl w:ilvl="0" w:tplc="BDF87E1E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57"/>
    <w:rsid w:val="0005428F"/>
    <w:rsid w:val="000A4E8B"/>
    <w:rsid w:val="002122AF"/>
    <w:rsid w:val="002525B5"/>
    <w:rsid w:val="00253461"/>
    <w:rsid w:val="002E52B8"/>
    <w:rsid w:val="002F3A79"/>
    <w:rsid w:val="00321184"/>
    <w:rsid w:val="003350F5"/>
    <w:rsid w:val="003B76BD"/>
    <w:rsid w:val="0041144F"/>
    <w:rsid w:val="00421030"/>
    <w:rsid w:val="0043504F"/>
    <w:rsid w:val="0047173D"/>
    <w:rsid w:val="004B13E9"/>
    <w:rsid w:val="005109D6"/>
    <w:rsid w:val="00576A2C"/>
    <w:rsid w:val="0064113C"/>
    <w:rsid w:val="00641674"/>
    <w:rsid w:val="0064434D"/>
    <w:rsid w:val="006720AC"/>
    <w:rsid w:val="006A4517"/>
    <w:rsid w:val="006E6F3C"/>
    <w:rsid w:val="006F5E2D"/>
    <w:rsid w:val="007D53D2"/>
    <w:rsid w:val="007E6A60"/>
    <w:rsid w:val="007E7382"/>
    <w:rsid w:val="00807A48"/>
    <w:rsid w:val="00880B1A"/>
    <w:rsid w:val="00891063"/>
    <w:rsid w:val="008A2E5F"/>
    <w:rsid w:val="00907931"/>
    <w:rsid w:val="00985C2D"/>
    <w:rsid w:val="009E0862"/>
    <w:rsid w:val="009E764F"/>
    <w:rsid w:val="00A143DF"/>
    <w:rsid w:val="00A85308"/>
    <w:rsid w:val="00AD4547"/>
    <w:rsid w:val="00AE1519"/>
    <w:rsid w:val="00B4546E"/>
    <w:rsid w:val="00C04CF4"/>
    <w:rsid w:val="00C72961"/>
    <w:rsid w:val="00CD5BB1"/>
    <w:rsid w:val="00D55A57"/>
    <w:rsid w:val="00DB196D"/>
    <w:rsid w:val="00E112A4"/>
    <w:rsid w:val="00E64E17"/>
    <w:rsid w:val="00E8029E"/>
    <w:rsid w:val="00F102DF"/>
    <w:rsid w:val="00F5427F"/>
    <w:rsid w:val="00F8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369"/>
  <w15:docId w15:val="{31DB4268-5D02-44B4-9F18-577C44F2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A48"/>
    <w:pPr>
      <w:keepNext/>
      <w:keepLines/>
      <w:numPr>
        <w:numId w:val="7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7A48"/>
    <w:pPr>
      <w:numPr>
        <w:ilvl w:val="1"/>
        <w:numId w:val="7"/>
      </w:numPr>
      <w:spacing w:after="120" w:line="276" w:lineRule="auto"/>
      <w:ind w:right="432"/>
      <w:contextualSpacing/>
      <w:outlineLvl w:val="1"/>
    </w:pPr>
    <w:rPr>
      <w:rFonts w:eastAsia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A48"/>
    <w:pPr>
      <w:keepNext/>
      <w:keepLines/>
      <w:numPr>
        <w:ilvl w:val="2"/>
        <w:numId w:val="7"/>
      </w:numPr>
      <w:spacing w:before="40" w:after="80" w:line="276" w:lineRule="auto"/>
      <w:outlineLvl w:val="2"/>
    </w:pPr>
    <w:rPr>
      <w:rFonts w:eastAsiaTheme="majorEastAsia" w:cstheme="majorBidi"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A48"/>
    <w:pPr>
      <w:keepNext/>
      <w:keepLines/>
      <w:numPr>
        <w:ilvl w:val="3"/>
        <w:numId w:val="7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A48"/>
    <w:pPr>
      <w:keepNext/>
      <w:keepLines/>
      <w:numPr>
        <w:ilvl w:val="4"/>
        <w:numId w:val="7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A48"/>
    <w:pPr>
      <w:keepNext/>
      <w:keepLines/>
      <w:numPr>
        <w:ilvl w:val="5"/>
        <w:numId w:val="7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A48"/>
    <w:pPr>
      <w:keepNext/>
      <w:keepLines/>
      <w:numPr>
        <w:ilvl w:val="6"/>
        <w:numId w:val="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A48"/>
    <w:pPr>
      <w:keepNext/>
      <w:keepLines/>
      <w:numPr>
        <w:ilvl w:val="7"/>
        <w:numId w:val="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A48"/>
    <w:pPr>
      <w:keepNext/>
      <w:keepLines/>
      <w:numPr>
        <w:ilvl w:val="8"/>
        <w:numId w:val="7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5A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A5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07A48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7A4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07A48"/>
    <w:rPr>
      <w:rFonts w:ascii="Times New Roman" w:eastAsiaTheme="majorEastAsia" w:hAnsi="Times New Roman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A4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A4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A4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A4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A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A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0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A48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A4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4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F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Number xmlns="117d80a1-0d87-45ef-abd5-ff2203ddf9b9">1002</Policy_x0020_Number>
    <Gov_x0020_Policy_x0020_Dirctv xmlns="117d80a1-0d87-45ef-abd5-ff2203ddf9b9">false</Gov_x0020_Policy_x0020_Dirctv>
    <Policy_x0020_Description xmlns="117d80a1-0d87-45ef-abd5-ff2203ddf9b9" xsi:nil="true"/>
    <Policy_x0020_Name xmlns="117d80a1-0d87-45ef-abd5-ff2203ddf9b9">1002 Secure Employee Workstation</Policy_x0020_Name>
    <Version_x0020_Date xmlns="117d80a1-0d87-45ef-abd5-ff2203ddf9b9">2018-03-08T06:00:00+00:00</Version_x0020_Date>
    <Seq xmlns="117d80a1-0d87-45ef-abd5-ff2203ddf9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D13EB6A9C0C4792E491F2C011D80A" ma:contentTypeVersion="6" ma:contentTypeDescription="Create a new document." ma:contentTypeScope="" ma:versionID="918f1f3e320b0cd7d101367c7faad1f8">
  <xsd:schema xmlns:xsd="http://www.w3.org/2001/XMLSchema" xmlns:xs="http://www.w3.org/2001/XMLSchema" xmlns:p="http://schemas.microsoft.com/office/2006/metadata/properties" xmlns:ns2="117d80a1-0d87-45ef-abd5-ff2203ddf9b9" targetNamespace="http://schemas.microsoft.com/office/2006/metadata/properties" ma:root="true" ma:fieldsID="c313359fb6e303dce2a7c079249967e5" ns2:_="">
    <xsd:import namespace="117d80a1-0d87-45ef-abd5-ff2203ddf9b9"/>
    <xsd:element name="properties">
      <xsd:complexType>
        <xsd:sequence>
          <xsd:element name="documentManagement">
            <xsd:complexType>
              <xsd:all>
                <xsd:element ref="ns2:Policy_x0020_Number"/>
                <xsd:element ref="ns2:Policy_x0020_Name" minOccurs="0"/>
                <xsd:element ref="ns2:Policy_x0020_Description" minOccurs="0"/>
                <xsd:element ref="ns2:Version_x0020_Date" minOccurs="0"/>
                <xsd:element ref="ns2:Seq" minOccurs="0"/>
                <xsd:element ref="ns2:Gov_x0020_Policy_x0020_Dirct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80a1-0d87-45ef-abd5-ff2203ddf9b9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8" ma:displayName="Policy No" ma:default="" ma:description="Number of Policy" ma:internalName="Policy_x0020_Number">
      <xsd:simpleType>
        <xsd:restriction base="dms:Text">
          <xsd:maxLength value="10"/>
        </xsd:restriction>
      </xsd:simpleType>
    </xsd:element>
    <xsd:element name="Policy_x0020_Name" ma:index="9" nillable="true" ma:displayName="Policy Group" ma:default="" ma:description="The name of the policy" ma:internalName="Policy_x0020_Name">
      <xsd:simpleType>
        <xsd:restriction base="dms:Text">
          <xsd:maxLength value="255"/>
        </xsd:restriction>
      </xsd:simpleType>
    </xsd:element>
    <xsd:element name="Policy_x0020_Description" ma:index="10" nillable="true" ma:displayName="Policy Description" ma:description="A brief description explaining the purpose of the policy and major components" ma:internalName="Policy_x0020_Description">
      <xsd:simpleType>
        <xsd:restriction base="dms:Note">
          <xsd:maxLength value="255"/>
        </xsd:restriction>
      </xsd:simpleType>
    </xsd:element>
    <xsd:element name="Version_x0020_Date" ma:index="11" nillable="true" ma:displayName="Version Date" ma:format="DateOnly" ma:internalName="Version_x0020_Date">
      <xsd:simpleType>
        <xsd:restriction base="dms:DateTime"/>
      </xsd:simpleType>
    </xsd:element>
    <xsd:element name="Seq" ma:index="12" nillable="true" ma:displayName="Seq" ma:default="" ma:internalName="Seq">
      <xsd:simpleType>
        <xsd:restriction base="dms:Text">
          <xsd:maxLength value="10"/>
        </xsd:restriction>
      </xsd:simpleType>
    </xsd:element>
    <xsd:element name="Gov_x0020_Policy_x0020_Dirctv" ma:index="13" nillable="true" ma:displayName="Gov Policy Dirctv" ma:default="0" ma:internalName="Gov_x0020_Policy_x0020_Dirctv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C4EF8-84E8-484C-82CE-1E469BEF2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1373F-BF65-479A-8394-97D485A7190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117d80a1-0d87-45ef-abd5-ff2203ddf9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8C3191-E8F0-44A0-92F6-BE2CB6B5F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d80a1-0d87-45ef-abd5-ff2203dd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Policy1002 Secure Employee Workstation</vt:lpstr>
    </vt:vector>
  </TitlesOfParts>
  <Company>DHS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Policy1002 Secure Employee Workstation</dc:title>
  <dc:creator>Alisa Carter</dc:creator>
  <cp:lastModifiedBy>Nicholas Provencher</cp:lastModifiedBy>
  <cp:revision>2</cp:revision>
  <cp:lastPrinted>2018-03-12T15:01:00Z</cp:lastPrinted>
  <dcterms:created xsi:type="dcterms:W3CDTF">2019-09-03T16:25:00Z</dcterms:created>
  <dcterms:modified xsi:type="dcterms:W3CDTF">2019-09-03T16:25:00Z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0x010100AC3D13EB6A9C0C4792E491F2C011D80A</vt:lpwstr>
  </property>
</Properties>
</file>